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7C4A" w14:textId="41FF7715" w:rsidR="00FF1FCD" w:rsidRDefault="00097F79">
      <w:pPr>
        <w:rPr>
          <w:sz w:val="24"/>
          <w:szCs w:val="24"/>
        </w:rPr>
      </w:pPr>
      <w:r>
        <w:rPr>
          <w:sz w:val="24"/>
          <w:szCs w:val="24"/>
        </w:rPr>
        <w:t>Title: “Earth Writing: The Evolving Role of Storytelling in Geographical and Environmental Education”</w:t>
      </w:r>
    </w:p>
    <w:p w14:paraId="1A1CA3D5" w14:textId="7FEAB1FC" w:rsidR="00097F79" w:rsidRDefault="00FA1BA5">
      <w:pPr>
        <w:rPr>
          <w:sz w:val="24"/>
          <w:szCs w:val="24"/>
        </w:rPr>
      </w:pPr>
      <w:r>
        <w:rPr>
          <w:sz w:val="24"/>
          <w:szCs w:val="24"/>
        </w:rPr>
        <w:t>Creator</w:t>
      </w:r>
      <w:r w:rsidR="00305D14">
        <w:rPr>
          <w:sz w:val="24"/>
          <w:szCs w:val="24"/>
        </w:rPr>
        <w:t>: Kirsten Somerville</w:t>
      </w:r>
    </w:p>
    <w:p w14:paraId="46D21AD7" w14:textId="34ABC981" w:rsidR="00E81723" w:rsidRDefault="005323E6">
      <w:pPr>
        <w:rPr>
          <w:sz w:val="24"/>
          <w:szCs w:val="24"/>
        </w:rPr>
      </w:pPr>
      <w:r>
        <w:rPr>
          <w:sz w:val="24"/>
          <w:szCs w:val="24"/>
        </w:rPr>
        <w:t>Affiliation</w:t>
      </w:r>
      <w:r w:rsidR="00E81723">
        <w:rPr>
          <w:sz w:val="24"/>
          <w:szCs w:val="24"/>
        </w:rPr>
        <w:t>:</w:t>
      </w:r>
      <w:r w:rsidR="000D55E3">
        <w:rPr>
          <w:sz w:val="24"/>
          <w:szCs w:val="24"/>
        </w:rPr>
        <w:t xml:space="preserve"> School of Education</w:t>
      </w:r>
      <w:r>
        <w:rPr>
          <w:sz w:val="24"/>
          <w:szCs w:val="24"/>
        </w:rPr>
        <w:t>, University of Glasgow</w:t>
      </w:r>
    </w:p>
    <w:p w14:paraId="6B6A3275" w14:textId="15E60516" w:rsidR="003451D5" w:rsidRDefault="006165C2">
      <w:pPr>
        <w:rPr>
          <w:sz w:val="24"/>
          <w:szCs w:val="24"/>
        </w:rPr>
      </w:pPr>
      <w:r>
        <w:rPr>
          <w:sz w:val="24"/>
          <w:szCs w:val="24"/>
        </w:rPr>
        <w:t xml:space="preserve">Contact: </w:t>
      </w:r>
      <w:hyperlink r:id="rId4" w:history="1">
        <w:r w:rsidRPr="007945F3">
          <w:rPr>
            <w:rStyle w:val="Hyperlink"/>
            <w:sz w:val="24"/>
            <w:szCs w:val="24"/>
          </w:rPr>
          <w:t>k.somerville.1@research.gla.ac.uk</w:t>
        </w:r>
      </w:hyperlink>
    </w:p>
    <w:p w14:paraId="3379441E" w14:textId="77777777" w:rsidR="00F45ADA" w:rsidRDefault="00F45ADA">
      <w:pPr>
        <w:rPr>
          <w:sz w:val="24"/>
          <w:szCs w:val="24"/>
        </w:rPr>
      </w:pPr>
    </w:p>
    <w:p w14:paraId="2E4FDE98" w14:textId="59C7D1B5" w:rsidR="00F45ADA" w:rsidRPr="00F45ADA" w:rsidRDefault="008572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Overview</w:t>
      </w:r>
    </w:p>
    <w:p w14:paraId="23A917BA" w14:textId="13105D3A" w:rsidR="0012310C" w:rsidRDefault="00995737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12310C">
        <w:rPr>
          <w:sz w:val="24"/>
          <w:szCs w:val="24"/>
        </w:rPr>
        <w:t xml:space="preserve"> </w:t>
      </w:r>
      <w:r w:rsidR="00CC3D08">
        <w:rPr>
          <w:sz w:val="24"/>
          <w:szCs w:val="24"/>
        </w:rPr>
        <w:t xml:space="preserve">dataset </w:t>
      </w:r>
      <w:r w:rsidR="00DB316F">
        <w:rPr>
          <w:sz w:val="24"/>
          <w:szCs w:val="24"/>
        </w:rPr>
        <w:t xml:space="preserve">comprises </w:t>
      </w:r>
      <w:r w:rsidR="00541489">
        <w:rPr>
          <w:sz w:val="24"/>
          <w:szCs w:val="24"/>
        </w:rPr>
        <w:t>an</w:t>
      </w:r>
      <w:r w:rsidR="0078523B">
        <w:rPr>
          <w:sz w:val="24"/>
          <w:szCs w:val="24"/>
        </w:rPr>
        <w:t xml:space="preserve"> </w:t>
      </w:r>
      <w:r w:rsidR="00F11EAB">
        <w:rPr>
          <w:sz w:val="24"/>
          <w:szCs w:val="24"/>
        </w:rPr>
        <w:t xml:space="preserve">Excel </w:t>
      </w:r>
      <w:r w:rsidR="00541489">
        <w:rPr>
          <w:sz w:val="24"/>
          <w:szCs w:val="24"/>
        </w:rPr>
        <w:t>workbook</w:t>
      </w:r>
      <w:r w:rsidR="003B4C2D">
        <w:rPr>
          <w:sz w:val="24"/>
          <w:szCs w:val="24"/>
        </w:rPr>
        <w:t xml:space="preserve"> </w:t>
      </w:r>
      <w:r w:rsidR="00841498">
        <w:rPr>
          <w:sz w:val="24"/>
          <w:szCs w:val="24"/>
        </w:rPr>
        <w:t xml:space="preserve">containing tables exported from </w:t>
      </w:r>
      <w:r w:rsidR="00684ACB">
        <w:rPr>
          <w:sz w:val="24"/>
          <w:szCs w:val="24"/>
        </w:rPr>
        <w:t xml:space="preserve">the corpus analysis software Sketch Engine. </w:t>
      </w:r>
      <w:r w:rsidR="00D32981">
        <w:rPr>
          <w:sz w:val="24"/>
          <w:szCs w:val="24"/>
        </w:rPr>
        <w:t xml:space="preserve">The tables </w:t>
      </w:r>
      <w:r w:rsidR="00A651DB">
        <w:rPr>
          <w:sz w:val="24"/>
          <w:szCs w:val="24"/>
        </w:rPr>
        <w:t xml:space="preserve">present the top </w:t>
      </w:r>
      <w:r w:rsidR="00E805B6">
        <w:rPr>
          <w:sz w:val="24"/>
          <w:szCs w:val="24"/>
        </w:rPr>
        <w:t>50 keywords and key terms for each decade of the corpus</w:t>
      </w:r>
      <w:r w:rsidR="00FC730D">
        <w:rPr>
          <w:sz w:val="24"/>
          <w:szCs w:val="24"/>
        </w:rPr>
        <w:t xml:space="preserve">, ranked by </w:t>
      </w:r>
      <w:r w:rsidR="00B0526E">
        <w:rPr>
          <w:sz w:val="24"/>
          <w:szCs w:val="24"/>
        </w:rPr>
        <w:t>keyness score.</w:t>
      </w:r>
    </w:p>
    <w:p w14:paraId="72ED37D4" w14:textId="77777777" w:rsidR="00776AEB" w:rsidRDefault="00776AEB">
      <w:pPr>
        <w:rPr>
          <w:sz w:val="24"/>
          <w:szCs w:val="24"/>
        </w:rPr>
      </w:pPr>
    </w:p>
    <w:p w14:paraId="024D45E4" w14:textId="39306642" w:rsidR="00776AEB" w:rsidRPr="00776AEB" w:rsidRDefault="00776A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Methods</w:t>
      </w:r>
    </w:p>
    <w:p w14:paraId="0B325589" w14:textId="3CED4489" w:rsidR="00F114DE" w:rsidRPr="00543961" w:rsidRDefault="00F114DE">
      <w:pPr>
        <w:rPr>
          <w:sz w:val="24"/>
          <w:szCs w:val="24"/>
        </w:rPr>
      </w:pPr>
      <w:r>
        <w:rPr>
          <w:sz w:val="24"/>
          <w:szCs w:val="24"/>
        </w:rPr>
        <w:t xml:space="preserve">The results were generated using </w:t>
      </w:r>
      <w:r w:rsidR="003D39F9">
        <w:rPr>
          <w:sz w:val="24"/>
          <w:szCs w:val="24"/>
        </w:rPr>
        <w:t>Sketch Engine’s key</w:t>
      </w:r>
      <w:r w:rsidR="004C4674">
        <w:rPr>
          <w:sz w:val="24"/>
          <w:szCs w:val="24"/>
        </w:rPr>
        <w:t>words too</w:t>
      </w:r>
      <w:r w:rsidR="00BA10D8">
        <w:rPr>
          <w:sz w:val="24"/>
          <w:szCs w:val="24"/>
        </w:rPr>
        <w:t xml:space="preserve">l. The keyness score </w:t>
      </w:r>
      <w:r w:rsidR="00736A9F">
        <w:rPr>
          <w:sz w:val="24"/>
          <w:szCs w:val="24"/>
        </w:rPr>
        <w:t>is</w:t>
      </w:r>
      <w:r w:rsidR="006E3856">
        <w:rPr>
          <w:sz w:val="24"/>
          <w:szCs w:val="24"/>
        </w:rPr>
        <w:t xml:space="preserve"> </w:t>
      </w:r>
      <w:r w:rsidR="00D85EB8">
        <w:rPr>
          <w:sz w:val="24"/>
          <w:szCs w:val="24"/>
        </w:rPr>
        <w:t>derived</w:t>
      </w:r>
      <w:r w:rsidR="00E05D72">
        <w:rPr>
          <w:sz w:val="24"/>
          <w:szCs w:val="24"/>
        </w:rPr>
        <w:t xml:space="preserve"> from</w:t>
      </w:r>
      <w:r w:rsidR="006E3856">
        <w:rPr>
          <w:sz w:val="24"/>
          <w:szCs w:val="24"/>
        </w:rPr>
        <w:t xml:space="preserve"> </w:t>
      </w:r>
      <w:r w:rsidR="00DC70D0">
        <w:rPr>
          <w:sz w:val="24"/>
          <w:szCs w:val="24"/>
        </w:rPr>
        <w:t>a ratio of normalised frequencies</w:t>
      </w:r>
      <w:r w:rsidR="004624C6">
        <w:rPr>
          <w:sz w:val="24"/>
          <w:szCs w:val="24"/>
        </w:rPr>
        <w:t xml:space="preserve"> between the focus and reference corpora</w:t>
      </w:r>
      <w:r w:rsidR="00140CAF">
        <w:rPr>
          <w:sz w:val="24"/>
          <w:szCs w:val="24"/>
        </w:rPr>
        <w:t xml:space="preserve"> (Lexical Computing, 2015)</w:t>
      </w:r>
      <w:r w:rsidR="00DC70D0">
        <w:rPr>
          <w:sz w:val="24"/>
          <w:szCs w:val="24"/>
        </w:rPr>
        <w:t xml:space="preserve">, </w:t>
      </w:r>
      <w:r w:rsidR="00543961">
        <w:rPr>
          <w:sz w:val="24"/>
          <w:szCs w:val="24"/>
        </w:rPr>
        <w:t xml:space="preserve">calculated using </w:t>
      </w:r>
      <w:proofErr w:type="spellStart"/>
      <w:r w:rsidR="00044535">
        <w:rPr>
          <w:sz w:val="24"/>
          <w:szCs w:val="24"/>
        </w:rPr>
        <w:t>Kilgarriff’s</w:t>
      </w:r>
      <w:proofErr w:type="spellEnd"/>
      <w:r w:rsidR="00044535">
        <w:rPr>
          <w:sz w:val="24"/>
          <w:szCs w:val="24"/>
        </w:rPr>
        <w:t xml:space="preserve"> (2009) </w:t>
      </w:r>
      <w:r w:rsidR="00A86791">
        <w:rPr>
          <w:sz w:val="24"/>
          <w:szCs w:val="24"/>
        </w:rPr>
        <w:t>s</w:t>
      </w:r>
      <w:r w:rsidR="00044535">
        <w:rPr>
          <w:sz w:val="24"/>
          <w:szCs w:val="24"/>
        </w:rPr>
        <w:t xml:space="preserve">imple </w:t>
      </w:r>
      <w:r w:rsidR="004352C6">
        <w:rPr>
          <w:sz w:val="24"/>
          <w:szCs w:val="24"/>
        </w:rPr>
        <w:t>m</w:t>
      </w:r>
      <w:r w:rsidR="00044535">
        <w:rPr>
          <w:sz w:val="24"/>
          <w:szCs w:val="24"/>
        </w:rPr>
        <w:t xml:space="preserve">aths method with </w:t>
      </w:r>
      <w:r w:rsidR="00543961">
        <w:rPr>
          <w:sz w:val="24"/>
          <w:szCs w:val="24"/>
        </w:rPr>
        <w:t xml:space="preserve">a smoothing parameter of </w:t>
      </w:r>
      <w:r w:rsidR="0096207E">
        <w:rPr>
          <w:i/>
          <w:iCs/>
          <w:sz w:val="24"/>
          <w:szCs w:val="24"/>
        </w:rPr>
        <w:t>N</w:t>
      </w:r>
      <w:r w:rsidR="00543961">
        <w:rPr>
          <w:sz w:val="24"/>
          <w:szCs w:val="24"/>
        </w:rPr>
        <w:t xml:space="preserve"> = 1000.</w:t>
      </w:r>
    </w:p>
    <w:p w14:paraId="2CA689B2" w14:textId="292887A2" w:rsidR="00FA1BA5" w:rsidRDefault="00304DA3">
      <w:pPr>
        <w:rPr>
          <w:sz w:val="24"/>
          <w:szCs w:val="24"/>
        </w:rPr>
      </w:pPr>
      <w:r>
        <w:rPr>
          <w:sz w:val="24"/>
          <w:szCs w:val="24"/>
        </w:rPr>
        <w:t>For d</w:t>
      </w:r>
      <w:r w:rsidR="00DE3523">
        <w:rPr>
          <w:sz w:val="24"/>
          <w:szCs w:val="24"/>
        </w:rPr>
        <w:t xml:space="preserve">etailed information on the </w:t>
      </w:r>
      <w:r w:rsidR="005D43E3">
        <w:rPr>
          <w:sz w:val="24"/>
          <w:szCs w:val="24"/>
        </w:rPr>
        <w:t>methods of data collection, processing, and analysi</w:t>
      </w:r>
      <w:r>
        <w:rPr>
          <w:sz w:val="24"/>
          <w:szCs w:val="24"/>
        </w:rPr>
        <w:t xml:space="preserve">s, see </w:t>
      </w:r>
      <w:r w:rsidR="00040E2C">
        <w:rPr>
          <w:sz w:val="24"/>
          <w:szCs w:val="24"/>
        </w:rPr>
        <w:t>Chapter 4 of the thesis</w:t>
      </w:r>
      <w:r w:rsidR="00E964B8">
        <w:rPr>
          <w:sz w:val="24"/>
          <w:szCs w:val="24"/>
        </w:rPr>
        <w:t xml:space="preserve">: </w:t>
      </w:r>
      <w:hyperlink r:id="rId5" w:history="1">
        <w:r w:rsidR="00E964B8" w:rsidRPr="00994B75">
          <w:rPr>
            <w:rStyle w:val="Hyperlink"/>
            <w:sz w:val="24"/>
            <w:szCs w:val="24"/>
          </w:rPr>
          <w:t>https://doi.org/10.5525/gla.thesis.86013</w:t>
        </w:r>
      </w:hyperlink>
      <w:r w:rsidR="00040E2C">
        <w:rPr>
          <w:sz w:val="24"/>
          <w:szCs w:val="24"/>
        </w:rPr>
        <w:t>.</w:t>
      </w:r>
    </w:p>
    <w:p w14:paraId="741CD80E" w14:textId="77777777" w:rsidR="00E964B8" w:rsidRDefault="00E964B8">
      <w:pPr>
        <w:rPr>
          <w:sz w:val="24"/>
          <w:szCs w:val="24"/>
        </w:rPr>
      </w:pPr>
    </w:p>
    <w:p w14:paraId="6F49A32C" w14:textId="5F6232EE" w:rsidR="00763AFE" w:rsidRDefault="00763AFE">
      <w:pPr>
        <w:rPr>
          <w:sz w:val="24"/>
          <w:szCs w:val="24"/>
        </w:rPr>
      </w:pPr>
      <w:r>
        <w:rPr>
          <w:sz w:val="24"/>
          <w:szCs w:val="24"/>
        </w:rPr>
        <w:t>References:</w:t>
      </w:r>
    </w:p>
    <w:p w14:paraId="37A5B285" w14:textId="5B334654" w:rsidR="006C4C08" w:rsidRDefault="006C4C08">
      <w:pPr>
        <w:rPr>
          <w:sz w:val="24"/>
          <w:szCs w:val="24"/>
        </w:rPr>
      </w:pPr>
      <w:proofErr w:type="spellStart"/>
      <w:r w:rsidRPr="006C4C08">
        <w:rPr>
          <w:sz w:val="24"/>
          <w:szCs w:val="24"/>
        </w:rPr>
        <w:t>Kilgarriff</w:t>
      </w:r>
      <w:proofErr w:type="spellEnd"/>
      <w:r w:rsidRPr="006C4C08">
        <w:rPr>
          <w:sz w:val="24"/>
          <w:szCs w:val="24"/>
        </w:rPr>
        <w:t xml:space="preserve">, A. 2009. Simple maths for keywords. In: Mahlberg, M., González-Díaz, V. and Smith, C. eds. </w:t>
      </w:r>
      <w:r w:rsidRPr="006C4C08">
        <w:rPr>
          <w:i/>
          <w:iCs/>
          <w:sz w:val="24"/>
          <w:szCs w:val="24"/>
        </w:rPr>
        <w:t xml:space="preserve">Proceedings of the Corpus Linguistics Conference 2009 (CL2009), 20-23 July 2009, </w:t>
      </w:r>
      <w:r w:rsidRPr="0045385C">
        <w:rPr>
          <w:i/>
          <w:iCs/>
          <w:sz w:val="24"/>
          <w:szCs w:val="24"/>
        </w:rPr>
        <w:t>Liverpool</w:t>
      </w:r>
      <w:r w:rsidR="0045385C">
        <w:rPr>
          <w:sz w:val="24"/>
          <w:szCs w:val="24"/>
        </w:rPr>
        <w:t>.</w:t>
      </w:r>
      <w:r w:rsidR="00A04885">
        <w:rPr>
          <w:i/>
          <w:iCs/>
          <w:sz w:val="24"/>
          <w:szCs w:val="24"/>
        </w:rPr>
        <w:t xml:space="preserve"> </w:t>
      </w:r>
      <w:r w:rsidR="00A04885">
        <w:rPr>
          <w:sz w:val="24"/>
          <w:szCs w:val="24"/>
        </w:rPr>
        <w:t>[Online</w:t>
      </w:r>
      <w:r w:rsidR="00884429">
        <w:rPr>
          <w:sz w:val="24"/>
          <w:szCs w:val="24"/>
        </w:rPr>
        <w:t>]</w:t>
      </w:r>
      <w:r w:rsidRPr="006C4C08">
        <w:rPr>
          <w:i/>
          <w:iCs/>
          <w:sz w:val="24"/>
          <w:szCs w:val="24"/>
        </w:rPr>
        <w:t>.</w:t>
      </w:r>
      <w:r w:rsidR="00884429">
        <w:rPr>
          <w:sz w:val="24"/>
          <w:szCs w:val="24"/>
        </w:rPr>
        <w:t xml:space="preserve"> </w:t>
      </w:r>
      <w:r w:rsidR="00E22CAE">
        <w:rPr>
          <w:sz w:val="24"/>
          <w:szCs w:val="24"/>
        </w:rPr>
        <w:t xml:space="preserve">Available from: </w:t>
      </w:r>
      <w:hyperlink r:id="rId6" w:history="1">
        <w:r w:rsidR="00153357" w:rsidRPr="007945F3">
          <w:rPr>
            <w:rStyle w:val="Hyperlink"/>
            <w:sz w:val="24"/>
            <w:szCs w:val="24"/>
          </w:rPr>
          <w:t>https://www.sketchengine.eu/wp-content/uploads/2015/04/2009-Simple-maths-for-keywords.pdf</w:t>
        </w:r>
      </w:hyperlink>
      <w:r w:rsidR="00153357">
        <w:rPr>
          <w:sz w:val="24"/>
          <w:szCs w:val="24"/>
        </w:rPr>
        <w:t xml:space="preserve"> </w:t>
      </w:r>
      <w:r w:rsidRPr="006C4C08">
        <w:rPr>
          <w:i/>
          <w:iCs/>
          <w:sz w:val="24"/>
          <w:szCs w:val="24"/>
        </w:rPr>
        <w:t xml:space="preserve"> </w:t>
      </w:r>
    </w:p>
    <w:p w14:paraId="1EF31401" w14:textId="71980EF6" w:rsidR="00A04885" w:rsidRDefault="00A04885">
      <w:pPr>
        <w:rPr>
          <w:sz w:val="24"/>
          <w:szCs w:val="24"/>
        </w:rPr>
      </w:pPr>
      <w:r w:rsidRPr="00A04885">
        <w:rPr>
          <w:sz w:val="24"/>
          <w:szCs w:val="24"/>
        </w:rPr>
        <w:t xml:space="preserve">Lexical Computing. 2015. </w:t>
      </w:r>
      <w:r w:rsidRPr="00A04885">
        <w:rPr>
          <w:i/>
          <w:iCs/>
          <w:sz w:val="24"/>
          <w:szCs w:val="24"/>
        </w:rPr>
        <w:t xml:space="preserve">Statistics used in the Sketch Engine. </w:t>
      </w:r>
      <w:r w:rsidRPr="00A04885">
        <w:rPr>
          <w:sz w:val="24"/>
          <w:szCs w:val="24"/>
        </w:rPr>
        <w:t xml:space="preserve">[Online]. Available from: </w:t>
      </w:r>
      <w:hyperlink r:id="rId7" w:history="1">
        <w:r w:rsidR="00241C0F" w:rsidRPr="007945F3">
          <w:rPr>
            <w:rStyle w:val="Hyperlink"/>
            <w:sz w:val="24"/>
            <w:szCs w:val="24"/>
          </w:rPr>
          <w:t>https://www.sketchengine.eu/wp-content/uploads/ske-statistics.pdf</w:t>
        </w:r>
      </w:hyperlink>
    </w:p>
    <w:p w14:paraId="26D4EC38" w14:textId="77777777" w:rsidR="008E4FB8" w:rsidRDefault="008E4FB8">
      <w:pPr>
        <w:rPr>
          <w:sz w:val="24"/>
          <w:szCs w:val="24"/>
        </w:rPr>
      </w:pPr>
    </w:p>
    <w:p w14:paraId="11075B42" w14:textId="3B53229C" w:rsidR="00B31F96" w:rsidRDefault="00B31F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Description</w:t>
      </w:r>
    </w:p>
    <w:p w14:paraId="147A4914" w14:textId="4ED60E4F" w:rsidR="00A06F1F" w:rsidRDefault="00541489">
      <w:pPr>
        <w:rPr>
          <w:sz w:val="24"/>
          <w:szCs w:val="24"/>
        </w:rPr>
      </w:pPr>
      <w:r>
        <w:rPr>
          <w:sz w:val="24"/>
          <w:szCs w:val="24"/>
        </w:rPr>
        <w:t>Sheets: 12</w:t>
      </w:r>
    </w:p>
    <w:p w14:paraId="7C757B40" w14:textId="4341794B" w:rsidR="00541489" w:rsidRDefault="00430B98">
      <w:pPr>
        <w:rPr>
          <w:sz w:val="24"/>
          <w:szCs w:val="24"/>
        </w:rPr>
      </w:pPr>
      <w:r>
        <w:rPr>
          <w:sz w:val="24"/>
          <w:szCs w:val="24"/>
        </w:rPr>
        <w:t>Columns per sheet: 15</w:t>
      </w:r>
    </w:p>
    <w:p w14:paraId="705F4C07" w14:textId="74186B02" w:rsidR="00430B98" w:rsidRDefault="00430B98">
      <w:pPr>
        <w:rPr>
          <w:sz w:val="24"/>
          <w:szCs w:val="24"/>
        </w:rPr>
      </w:pPr>
      <w:r>
        <w:rPr>
          <w:sz w:val="24"/>
          <w:szCs w:val="24"/>
        </w:rPr>
        <w:t>Rows per sheet: 50</w:t>
      </w:r>
    </w:p>
    <w:p w14:paraId="17CDAB83" w14:textId="6EDFCFD7" w:rsidR="00422A5C" w:rsidRDefault="0031392D">
      <w:pPr>
        <w:rPr>
          <w:sz w:val="24"/>
          <w:szCs w:val="24"/>
        </w:rPr>
      </w:pPr>
      <w:r>
        <w:rPr>
          <w:sz w:val="24"/>
          <w:szCs w:val="24"/>
        </w:rPr>
        <w:t>The table below describes the variables in each sheet of the Excel workbook.</w:t>
      </w:r>
    </w:p>
    <w:p w14:paraId="4A03B955" w14:textId="62FFAA62" w:rsidR="0031392D" w:rsidRDefault="0031392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 further information on </w:t>
      </w:r>
      <w:r w:rsidR="00D06D78">
        <w:rPr>
          <w:sz w:val="24"/>
          <w:szCs w:val="24"/>
        </w:rPr>
        <w:t xml:space="preserve">the measures, see the Sketch Engine Glossary: </w:t>
      </w:r>
      <w:hyperlink r:id="rId8" w:history="1">
        <w:r w:rsidR="00D06D78" w:rsidRPr="007945F3">
          <w:rPr>
            <w:rStyle w:val="Hyperlink"/>
            <w:sz w:val="24"/>
            <w:szCs w:val="24"/>
          </w:rPr>
          <w:t>https://www.sketchengine.eu/guide/glossary/</w:t>
        </w:r>
      </w:hyperlink>
      <w:r w:rsidR="00D06D78">
        <w:rPr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6"/>
        <w:gridCol w:w="7790"/>
      </w:tblGrid>
      <w:tr w:rsidR="007956C9" w14:paraId="3F67CED8" w14:textId="77777777" w:rsidTr="009C7C50">
        <w:tc>
          <w:tcPr>
            <w:tcW w:w="680" w:type="pct"/>
          </w:tcPr>
          <w:p w14:paraId="7E456212" w14:textId="51C13917" w:rsidR="007956C9" w:rsidRPr="00870DC5" w:rsidRDefault="00870D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4320" w:type="pct"/>
          </w:tcPr>
          <w:p w14:paraId="7FBD67A7" w14:textId="77777777" w:rsidR="007956C9" w:rsidRDefault="00F4604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  <w:p w14:paraId="46D04805" w14:textId="258D73BA" w:rsidR="005E43F1" w:rsidRPr="00F46047" w:rsidRDefault="005E43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0DC5" w14:paraId="23323CB4" w14:textId="77777777" w:rsidTr="009C7C50">
        <w:tc>
          <w:tcPr>
            <w:tcW w:w="680" w:type="pct"/>
          </w:tcPr>
          <w:p w14:paraId="4D127805" w14:textId="4F87B8D1" w:rsidR="00870DC5" w:rsidRDefault="00DB6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</w:t>
            </w:r>
          </w:p>
        </w:tc>
        <w:tc>
          <w:tcPr>
            <w:tcW w:w="4320" w:type="pct"/>
          </w:tcPr>
          <w:p w14:paraId="187214DD" w14:textId="77777777" w:rsidR="00870DC5" w:rsidRDefault="00D76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 of keyness score</w:t>
            </w:r>
          </w:p>
          <w:p w14:paraId="58933A59" w14:textId="030E304F" w:rsidR="005E43F1" w:rsidRDefault="005E43F1">
            <w:pPr>
              <w:rPr>
                <w:sz w:val="24"/>
                <w:szCs w:val="24"/>
              </w:rPr>
            </w:pPr>
          </w:p>
        </w:tc>
      </w:tr>
      <w:tr w:rsidR="007956C9" w14:paraId="646E6791" w14:textId="77777777" w:rsidTr="009C7C50">
        <w:tc>
          <w:tcPr>
            <w:tcW w:w="680" w:type="pct"/>
          </w:tcPr>
          <w:p w14:paraId="0C7704F2" w14:textId="02280447" w:rsidR="007956C9" w:rsidRDefault="00DB6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4320" w:type="pct"/>
          </w:tcPr>
          <w:p w14:paraId="22271D9A" w14:textId="77777777" w:rsidR="007956C9" w:rsidRDefault="00C91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Keyword or key term</w:t>
            </w:r>
          </w:p>
          <w:p w14:paraId="4D056E89" w14:textId="0F6FEC36" w:rsidR="005E43F1" w:rsidRDefault="005E43F1">
            <w:pPr>
              <w:rPr>
                <w:sz w:val="24"/>
                <w:szCs w:val="24"/>
              </w:rPr>
            </w:pPr>
          </w:p>
        </w:tc>
      </w:tr>
      <w:tr w:rsidR="007956C9" w14:paraId="44D98CFC" w14:textId="77777777" w:rsidTr="009C7C50">
        <w:tc>
          <w:tcPr>
            <w:tcW w:w="680" w:type="pct"/>
          </w:tcPr>
          <w:p w14:paraId="7A8811CB" w14:textId="1ED88A67" w:rsidR="007956C9" w:rsidRDefault="00DB6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</w:t>
            </w:r>
          </w:p>
        </w:tc>
        <w:tc>
          <w:tcPr>
            <w:tcW w:w="4320" w:type="pct"/>
          </w:tcPr>
          <w:p w14:paraId="1FB01844" w14:textId="77777777" w:rsidR="007956C9" w:rsidRDefault="003D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Frequency: absolute frequency in focus corpus</w:t>
            </w:r>
          </w:p>
          <w:p w14:paraId="511F9D12" w14:textId="7F54BC51" w:rsidR="005E43F1" w:rsidRDefault="005E43F1">
            <w:pPr>
              <w:rPr>
                <w:sz w:val="24"/>
                <w:szCs w:val="24"/>
              </w:rPr>
            </w:pPr>
          </w:p>
        </w:tc>
      </w:tr>
      <w:tr w:rsidR="007956C9" w14:paraId="64B0D7C8" w14:textId="77777777" w:rsidTr="009C7C50">
        <w:tc>
          <w:tcPr>
            <w:tcW w:w="680" w:type="pct"/>
          </w:tcPr>
          <w:p w14:paraId="69028A64" w14:textId="2F849DE8" w:rsidR="007956C9" w:rsidRDefault="00DB6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RF</w:t>
            </w:r>
          </w:p>
        </w:tc>
        <w:tc>
          <w:tcPr>
            <w:tcW w:w="4320" w:type="pct"/>
          </w:tcPr>
          <w:p w14:paraId="22DB6686" w14:textId="77777777" w:rsidR="007956C9" w:rsidRDefault="003D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Reference Frequency: </w:t>
            </w:r>
            <w:r w:rsidR="00352401">
              <w:rPr>
                <w:sz w:val="24"/>
                <w:szCs w:val="24"/>
              </w:rPr>
              <w:t>absolute frequency in reference corpus</w:t>
            </w:r>
          </w:p>
          <w:p w14:paraId="21841F48" w14:textId="70C96194" w:rsidR="005E43F1" w:rsidRDefault="005E43F1">
            <w:pPr>
              <w:rPr>
                <w:sz w:val="24"/>
                <w:szCs w:val="24"/>
              </w:rPr>
            </w:pPr>
          </w:p>
        </w:tc>
      </w:tr>
      <w:tr w:rsidR="007956C9" w14:paraId="3CC25D92" w14:textId="77777777" w:rsidTr="009C7C50">
        <w:tc>
          <w:tcPr>
            <w:tcW w:w="680" w:type="pct"/>
          </w:tcPr>
          <w:p w14:paraId="6F53108F" w14:textId="3A58AA28" w:rsidR="007956C9" w:rsidRDefault="00DB6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FFPM</w:t>
            </w:r>
          </w:p>
        </w:tc>
        <w:tc>
          <w:tcPr>
            <w:tcW w:w="4320" w:type="pct"/>
          </w:tcPr>
          <w:p w14:paraId="48AF3203" w14:textId="77777777" w:rsidR="007956C9" w:rsidRDefault="00352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Frequency Per Million: relative frequency in focus corpus</w:t>
            </w:r>
          </w:p>
          <w:p w14:paraId="60AF3648" w14:textId="195727D1" w:rsidR="005E43F1" w:rsidRDefault="005E43F1">
            <w:pPr>
              <w:rPr>
                <w:sz w:val="24"/>
                <w:szCs w:val="24"/>
              </w:rPr>
            </w:pPr>
          </w:p>
        </w:tc>
      </w:tr>
      <w:tr w:rsidR="007956C9" w14:paraId="60680832" w14:textId="77777777" w:rsidTr="009C7C50">
        <w:tc>
          <w:tcPr>
            <w:tcW w:w="680" w:type="pct"/>
          </w:tcPr>
          <w:p w14:paraId="078C75B8" w14:textId="3DC384E9" w:rsidR="007956C9" w:rsidRDefault="00DB6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RFPM</w:t>
            </w:r>
          </w:p>
        </w:tc>
        <w:tc>
          <w:tcPr>
            <w:tcW w:w="4320" w:type="pct"/>
          </w:tcPr>
          <w:p w14:paraId="1D4CF696" w14:textId="77777777" w:rsidR="007956C9" w:rsidRDefault="00352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Frequency Per Million: relative frequency in reference corpus</w:t>
            </w:r>
          </w:p>
          <w:p w14:paraId="328CD8DB" w14:textId="238B6412" w:rsidR="005E43F1" w:rsidRDefault="005E43F1">
            <w:pPr>
              <w:rPr>
                <w:sz w:val="24"/>
                <w:szCs w:val="24"/>
              </w:rPr>
            </w:pPr>
          </w:p>
        </w:tc>
      </w:tr>
      <w:tr w:rsidR="007956C9" w14:paraId="5BB9E2FD" w14:textId="77777777" w:rsidTr="009C7C50">
        <w:tc>
          <w:tcPr>
            <w:tcW w:w="680" w:type="pct"/>
          </w:tcPr>
          <w:p w14:paraId="120F60AD" w14:textId="6F23935A" w:rsidR="007956C9" w:rsidRDefault="00DB6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FDOCF</w:t>
            </w:r>
          </w:p>
        </w:tc>
        <w:tc>
          <w:tcPr>
            <w:tcW w:w="4320" w:type="pct"/>
          </w:tcPr>
          <w:p w14:paraId="72FC7FA5" w14:textId="52FF4DFB" w:rsidR="007956C9" w:rsidRDefault="00352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Focus Document </w:t>
            </w:r>
            <w:r w:rsidR="00752013">
              <w:rPr>
                <w:sz w:val="24"/>
                <w:szCs w:val="24"/>
              </w:rPr>
              <w:t xml:space="preserve">Frequency: </w:t>
            </w:r>
            <w:r w:rsidR="00916F43">
              <w:rPr>
                <w:sz w:val="24"/>
                <w:szCs w:val="24"/>
              </w:rPr>
              <w:t>absolute document frequency in focus corpus</w:t>
            </w:r>
          </w:p>
        </w:tc>
      </w:tr>
      <w:tr w:rsidR="007956C9" w14:paraId="46994F07" w14:textId="77777777" w:rsidTr="009C7C50">
        <w:tc>
          <w:tcPr>
            <w:tcW w:w="680" w:type="pct"/>
          </w:tcPr>
          <w:p w14:paraId="0545DC1B" w14:textId="6B9FF59E" w:rsidR="007956C9" w:rsidRDefault="00DB6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RDOCF</w:t>
            </w:r>
          </w:p>
        </w:tc>
        <w:tc>
          <w:tcPr>
            <w:tcW w:w="4320" w:type="pct"/>
          </w:tcPr>
          <w:p w14:paraId="6419A344" w14:textId="27908262" w:rsidR="007956C9" w:rsidRDefault="00916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Document Frequency: absolute document frequency in reference corpus</w:t>
            </w:r>
          </w:p>
        </w:tc>
      </w:tr>
      <w:tr w:rsidR="007956C9" w14:paraId="4D997FD1" w14:textId="77777777" w:rsidTr="009C7C50">
        <w:tc>
          <w:tcPr>
            <w:tcW w:w="680" w:type="pct"/>
          </w:tcPr>
          <w:p w14:paraId="0279ABE5" w14:textId="7FE16334" w:rsidR="007956C9" w:rsidRDefault="00165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FDOC%</w:t>
            </w:r>
          </w:p>
        </w:tc>
        <w:tc>
          <w:tcPr>
            <w:tcW w:w="4320" w:type="pct"/>
          </w:tcPr>
          <w:p w14:paraId="10C41655" w14:textId="44282AA7" w:rsidR="007956C9" w:rsidRDefault="00916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207C22">
              <w:rPr>
                <w:sz w:val="24"/>
                <w:szCs w:val="24"/>
              </w:rPr>
              <w:t xml:space="preserve">ocus Document Percentage: </w:t>
            </w:r>
            <w:r w:rsidR="00C64AC8">
              <w:rPr>
                <w:sz w:val="24"/>
                <w:szCs w:val="24"/>
              </w:rPr>
              <w:t xml:space="preserve">relative document frequency in </w:t>
            </w:r>
            <w:r w:rsidR="00C62858">
              <w:rPr>
                <w:sz w:val="24"/>
                <w:szCs w:val="24"/>
              </w:rPr>
              <w:t>focus corpus</w:t>
            </w:r>
          </w:p>
        </w:tc>
      </w:tr>
      <w:tr w:rsidR="007956C9" w14:paraId="304A770F" w14:textId="77777777" w:rsidTr="009C7C50">
        <w:tc>
          <w:tcPr>
            <w:tcW w:w="680" w:type="pct"/>
          </w:tcPr>
          <w:p w14:paraId="14C9439A" w14:textId="2B19B215" w:rsidR="007956C9" w:rsidRDefault="00165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RDOC%</w:t>
            </w:r>
          </w:p>
        </w:tc>
        <w:tc>
          <w:tcPr>
            <w:tcW w:w="4320" w:type="pct"/>
          </w:tcPr>
          <w:p w14:paraId="08333A26" w14:textId="1F6A04D3" w:rsidR="007956C9" w:rsidRDefault="00C62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Document Percentage: relative document frequency in reference corpus</w:t>
            </w:r>
          </w:p>
        </w:tc>
      </w:tr>
      <w:tr w:rsidR="007956C9" w14:paraId="1B44DF67" w14:textId="77777777" w:rsidTr="009C7C50">
        <w:tc>
          <w:tcPr>
            <w:tcW w:w="680" w:type="pct"/>
          </w:tcPr>
          <w:p w14:paraId="33C63738" w14:textId="03568EEE" w:rsidR="007956C9" w:rsidRDefault="00165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FARF</w:t>
            </w:r>
          </w:p>
        </w:tc>
        <w:tc>
          <w:tcPr>
            <w:tcW w:w="4320" w:type="pct"/>
          </w:tcPr>
          <w:p w14:paraId="56411EBB" w14:textId="54514B69" w:rsidR="007956C9" w:rsidRDefault="000D5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Focus Average Reduced Frequency: </w:t>
            </w:r>
            <w:r w:rsidR="00490534">
              <w:rPr>
                <w:sz w:val="24"/>
                <w:szCs w:val="24"/>
              </w:rPr>
              <w:t xml:space="preserve">frequency </w:t>
            </w:r>
            <w:r w:rsidR="00E24BE5">
              <w:rPr>
                <w:sz w:val="24"/>
                <w:szCs w:val="24"/>
              </w:rPr>
              <w:t>modified by evenness of distribution in focus corpus</w:t>
            </w:r>
            <w:r w:rsidR="00AC5797">
              <w:rPr>
                <w:sz w:val="24"/>
                <w:szCs w:val="24"/>
              </w:rPr>
              <w:t>, calculated by frequency</w:t>
            </w:r>
          </w:p>
        </w:tc>
      </w:tr>
      <w:tr w:rsidR="007956C9" w14:paraId="4B2CEDD0" w14:textId="77777777" w:rsidTr="009C7C50">
        <w:tc>
          <w:tcPr>
            <w:tcW w:w="680" w:type="pct"/>
          </w:tcPr>
          <w:p w14:paraId="3C3B225F" w14:textId="574F2B03" w:rsidR="007956C9" w:rsidRDefault="00165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RARF</w:t>
            </w:r>
          </w:p>
        </w:tc>
        <w:tc>
          <w:tcPr>
            <w:tcW w:w="4320" w:type="pct"/>
          </w:tcPr>
          <w:p w14:paraId="43A279F1" w14:textId="4FF8D372" w:rsidR="007956C9" w:rsidRDefault="00E2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Reference Average Reduced Frequency: </w:t>
            </w:r>
            <w:r w:rsidR="001F3885">
              <w:rPr>
                <w:sz w:val="24"/>
                <w:szCs w:val="24"/>
              </w:rPr>
              <w:t>frequency modified by evenness of distribution in reference corpus</w:t>
            </w:r>
            <w:r w:rsidR="00AC5797">
              <w:rPr>
                <w:sz w:val="24"/>
                <w:szCs w:val="24"/>
              </w:rPr>
              <w:t>, calculated by frequency</w:t>
            </w:r>
          </w:p>
        </w:tc>
      </w:tr>
      <w:tr w:rsidR="007956C9" w14:paraId="2BD1ED68" w14:textId="77777777" w:rsidTr="009C7C50">
        <w:tc>
          <w:tcPr>
            <w:tcW w:w="680" w:type="pct"/>
          </w:tcPr>
          <w:p w14:paraId="15AC278C" w14:textId="2A74CA74" w:rsidR="007956C9" w:rsidRDefault="00165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FALDF</w:t>
            </w:r>
          </w:p>
        </w:tc>
        <w:tc>
          <w:tcPr>
            <w:tcW w:w="4320" w:type="pct"/>
          </w:tcPr>
          <w:p w14:paraId="0875D751" w14:textId="0273FE51" w:rsidR="007956C9" w:rsidRDefault="007E4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Focus Average Logarithmic Distance Frequency: frequency modified by </w:t>
            </w:r>
            <w:r w:rsidR="00E34BEB">
              <w:rPr>
                <w:sz w:val="24"/>
                <w:szCs w:val="24"/>
              </w:rPr>
              <w:t>evenness of distribution in focus corpus</w:t>
            </w:r>
            <w:r w:rsidR="00AC5797">
              <w:rPr>
                <w:sz w:val="24"/>
                <w:szCs w:val="24"/>
              </w:rPr>
              <w:t>, calculated by distance</w:t>
            </w:r>
          </w:p>
        </w:tc>
      </w:tr>
      <w:tr w:rsidR="007956C9" w14:paraId="25C5A0F3" w14:textId="77777777" w:rsidTr="009C7C50">
        <w:tc>
          <w:tcPr>
            <w:tcW w:w="680" w:type="pct"/>
          </w:tcPr>
          <w:p w14:paraId="2F8D845A" w14:textId="00381E18" w:rsidR="007956C9" w:rsidRDefault="00165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RALDF</w:t>
            </w:r>
          </w:p>
        </w:tc>
        <w:tc>
          <w:tcPr>
            <w:tcW w:w="4320" w:type="pct"/>
          </w:tcPr>
          <w:p w14:paraId="631B34CE" w14:textId="6C650744" w:rsidR="007956C9" w:rsidRDefault="00E3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Average Logarithmic Distance Frequency: frequency modified by evenness of distribution in reference corpus</w:t>
            </w:r>
            <w:r w:rsidR="00AC5797">
              <w:rPr>
                <w:sz w:val="24"/>
                <w:szCs w:val="24"/>
              </w:rPr>
              <w:t>, calculated by distance</w:t>
            </w:r>
          </w:p>
        </w:tc>
      </w:tr>
      <w:tr w:rsidR="007956C9" w14:paraId="70054E89" w14:textId="77777777" w:rsidTr="009C7C50">
        <w:tc>
          <w:tcPr>
            <w:tcW w:w="680" w:type="pct"/>
          </w:tcPr>
          <w:p w14:paraId="29BC4326" w14:textId="4AA186F5" w:rsidR="007956C9" w:rsidRDefault="00165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</w:t>
            </w:r>
          </w:p>
        </w:tc>
        <w:tc>
          <w:tcPr>
            <w:tcW w:w="4320" w:type="pct"/>
          </w:tcPr>
          <w:p w14:paraId="104491A5" w14:textId="77777777" w:rsidR="007956C9" w:rsidRDefault="0058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34BEB">
              <w:rPr>
                <w:sz w:val="24"/>
                <w:szCs w:val="24"/>
              </w:rPr>
              <w:t>eyness score</w:t>
            </w:r>
          </w:p>
          <w:p w14:paraId="3668DD79" w14:textId="75A13CBA" w:rsidR="005E43F1" w:rsidRDefault="005E43F1">
            <w:pPr>
              <w:rPr>
                <w:sz w:val="24"/>
                <w:szCs w:val="24"/>
              </w:rPr>
            </w:pPr>
          </w:p>
        </w:tc>
      </w:tr>
    </w:tbl>
    <w:p w14:paraId="64A91FB9" w14:textId="77777777" w:rsidR="00763AFE" w:rsidRPr="00097F79" w:rsidRDefault="00763AFE" w:rsidP="005E43F1">
      <w:pPr>
        <w:rPr>
          <w:sz w:val="24"/>
          <w:szCs w:val="24"/>
        </w:rPr>
      </w:pPr>
    </w:p>
    <w:sectPr w:rsidR="00763AFE" w:rsidRPr="00097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79"/>
    <w:rsid w:val="00014AAD"/>
    <w:rsid w:val="00040E2C"/>
    <w:rsid w:val="00044535"/>
    <w:rsid w:val="00097F79"/>
    <w:rsid w:val="000D55E3"/>
    <w:rsid w:val="000D58E7"/>
    <w:rsid w:val="000F4FEF"/>
    <w:rsid w:val="00122513"/>
    <w:rsid w:val="0012310C"/>
    <w:rsid w:val="00140CAF"/>
    <w:rsid w:val="00153357"/>
    <w:rsid w:val="00165F93"/>
    <w:rsid w:val="00176806"/>
    <w:rsid w:val="001F3885"/>
    <w:rsid w:val="002057DA"/>
    <w:rsid w:val="00207C22"/>
    <w:rsid w:val="00235CAA"/>
    <w:rsid w:val="00241C0F"/>
    <w:rsid w:val="00243403"/>
    <w:rsid w:val="002A21A7"/>
    <w:rsid w:val="002E38F9"/>
    <w:rsid w:val="00304DA3"/>
    <w:rsid w:val="00305D14"/>
    <w:rsid w:val="0031392D"/>
    <w:rsid w:val="003451D5"/>
    <w:rsid w:val="00352401"/>
    <w:rsid w:val="00356AA3"/>
    <w:rsid w:val="003B4C2D"/>
    <w:rsid w:val="003B6CC4"/>
    <w:rsid w:val="003D39F9"/>
    <w:rsid w:val="003D5F77"/>
    <w:rsid w:val="00422A5C"/>
    <w:rsid w:val="00430B98"/>
    <w:rsid w:val="004352C6"/>
    <w:rsid w:val="0045385C"/>
    <w:rsid w:val="004624C6"/>
    <w:rsid w:val="004654C2"/>
    <w:rsid w:val="00490534"/>
    <w:rsid w:val="004A46BC"/>
    <w:rsid w:val="004C4674"/>
    <w:rsid w:val="004C666C"/>
    <w:rsid w:val="004E5C50"/>
    <w:rsid w:val="004F1E80"/>
    <w:rsid w:val="005323E6"/>
    <w:rsid w:val="00541489"/>
    <w:rsid w:val="00543961"/>
    <w:rsid w:val="00583F9A"/>
    <w:rsid w:val="005D43E3"/>
    <w:rsid w:val="005E43F1"/>
    <w:rsid w:val="006165C2"/>
    <w:rsid w:val="00636DB8"/>
    <w:rsid w:val="00684ACB"/>
    <w:rsid w:val="006C4C08"/>
    <w:rsid w:val="006E3856"/>
    <w:rsid w:val="006F5459"/>
    <w:rsid w:val="00736A9F"/>
    <w:rsid w:val="00752013"/>
    <w:rsid w:val="00763AFE"/>
    <w:rsid w:val="00776AEB"/>
    <w:rsid w:val="0078523B"/>
    <w:rsid w:val="007956C9"/>
    <w:rsid w:val="007C583A"/>
    <w:rsid w:val="007E288E"/>
    <w:rsid w:val="007E4E49"/>
    <w:rsid w:val="00841498"/>
    <w:rsid w:val="00842458"/>
    <w:rsid w:val="00857262"/>
    <w:rsid w:val="00870DC5"/>
    <w:rsid w:val="00884429"/>
    <w:rsid w:val="008E4FB8"/>
    <w:rsid w:val="00916F43"/>
    <w:rsid w:val="0096207E"/>
    <w:rsid w:val="009705E0"/>
    <w:rsid w:val="00995737"/>
    <w:rsid w:val="009B1DD4"/>
    <w:rsid w:val="009C7C50"/>
    <w:rsid w:val="00A04885"/>
    <w:rsid w:val="00A06F1F"/>
    <w:rsid w:val="00A65120"/>
    <w:rsid w:val="00A651DB"/>
    <w:rsid w:val="00A7540C"/>
    <w:rsid w:val="00A86791"/>
    <w:rsid w:val="00AC5797"/>
    <w:rsid w:val="00B0526E"/>
    <w:rsid w:val="00B31F96"/>
    <w:rsid w:val="00BA10D8"/>
    <w:rsid w:val="00BA2319"/>
    <w:rsid w:val="00BE5D36"/>
    <w:rsid w:val="00C62858"/>
    <w:rsid w:val="00C64AC8"/>
    <w:rsid w:val="00C91E80"/>
    <w:rsid w:val="00CC3D08"/>
    <w:rsid w:val="00D06D78"/>
    <w:rsid w:val="00D1765F"/>
    <w:rsid w:val="00D32981"/>
    <w:rsid w:val="00D766BA"/>
    <w:rsid w:val="00D85EB8"/>
    <w:rsid w:val="00DB316F"/>
    <w:rsid w:val="00DB65E0"/>
    <w:rsid w:val="00DC70D0"/>
    <w:rsid w:val="00DE3523"/>
    <w:rsid w:val="00DE744A"/>
    <w:rsid w:val="00E05D72"/>
    <w:rsid w:val="00E22CAE"/>
    <w:rsid w:val="00E24BE5"/>
    <w:rsid w:val="00E278CB"/>
    <w:rsid w:val="00E34BEB"/>
    <w:rsid w:val="00E52B89"/>
    <w:rsid w:val="00E805B6"/>
    <w:rsid w:val="00E81723"/>
    <w:rsid w:val="00E964B8"/>
    <w:rsid w:val="00EB785B"/>
    <w:rsid w:val="00EE1B71"/>
    <w:rsid w:val="00F114DE"/>
    <w:rsid w:val="00F11EAB"/>
    <w:rsid w:val="00F45ADA"/>
    <w:rsid w:val="00F46047"/>
    <w:rsid w:val="00F60846"/>
    <w:rsid w:val="00FA1BA5"/>
    <w:rsid w:val="00FC730D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5B9F"/>
  <w15:chartTrackingRefBased/>
  <w15:docId w15:val="{31989902-A978-428A-A3CA-D783F5E1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F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8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8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429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9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etchengine.eu/guide/glossa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ketchengine.eu/wp-content/uploads/ske-statistic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etchengine.eu/wp-content/uploads/2015/04/2009-Simple-maths-for-keywords.pdf" TargetMode="External"/><Relationship Id="rId5" Type="http://schemas.openxmlformats.org/officeDocument/2006/relationships/hyperlink" Target="https://doi.org/10.5525/gla.thesis.86013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.somerville.1@research.gla.ac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Somerville (PGR)</dc:creator>
  <cp:keywords/>
  <dc:description/>
  <cp:lastModifiedBy>Kirsten Somerville (PGR)</cp:lastModifiedBy>
  <cp:revision>112</cp:revision>
  <dcterms:created xsi:type="dcterms:W3CDTF">2026-05-06T20:50:00Z</dcterms:created>
  <dcterms:modified xsi:type="dcterms:W3CDTF">2026-06-10T13:05:00Z</dcterms:modified>
</cp:coreProperties>
</file>