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BB677" w14:textId="5482E0ED" w:rsidR="00A74366" w:rsidRPr="007B26F4" w:rsidRDefault="00E615B2" w:rsidP="00296FD0">
      <w:pPr>
        <w:jc w:val="center"/>
        <w:rPr>
          <w:rFonts w:ascii="Calibri" w:hAnsi="Calibri" w:cs="Calibri"/>
          <w:noProof/>
          <w:sz w:val="36"/>
          <w:szCs w:val="36"/>
        </w:rPr>
      </w:pPr>
      <w:r>
        <w:rPr>
          <w:rFonts w:ascii="Calibri" w:hAnsi="Calibri" w:cs="Calibri"/>
          <w:noProof/>
          <w:sz w:val="36"/>
          <w:szCs w:val="36"/>
        </w:rPr>
        <w:t>Open access readme for:</w:t>
      </w:r>
    </w:p>
    <w:p w14:paraId="4CACC7B3" w14:textId="4807169F" w:rsidR="00296FD0" w:rsidRPr="007B26F4" w:rsidRDefault="00296FD0" w:rsidP="00296FD0">
      <w:pPr>
        <w:jc w:val="center"/>
        <w:rPr>
          <w:rFonts w:ascii="Calibri" w:hAnsi="Calibri" w:cs="Calibri"/>
          <w:noProof/>
          <w:sz w:val="36"/>
          <w:szCs w:val="36"/>
        </w:rPr>
      </w:pPr>
      <w:r w:rsidRPr="007B26F4">
        <w:rPr>
          <w:rFonts w:ascii="Calibri" w:hAnsi="Calibri" w:cs="Calibri"/>
          <w:noProof/>
          <w:sz w:val="36"/>
          <w:szCs w:val="36"/>
        </w:rPr>
        <w:t xml:space="preserve"> </w:t>
      </w:r>
    </w:p>
    <w:p w14:paraId="1B7607AE" w14:textId="77777777" w:rsidR="00296FD0" w:rsidRPr="007B26F4" w:rsidRDefault="00296FD0" w:rsidP="00296FD0">
      <w:pPr>
        <w:jc w:val="center"/>
        <w:rPr>
          <w:rFonts w:ascii="Calibri" w:hAnsi="Calibri" w:cs="Calibri"/>
          <w:b/>
          <w:bCs/>
          <w:sz w:val="36"/>
          <w:szCs w:val="36"/>
        </w:rPr>
      </w:pPr>
      <w:r w:rsidRPr="00E615B2">
        <w:rPr>
          <w:rFonts w:ascii="Calibri" w:hAnsi="Calibri" w:cs="Calibri"/>
          <w:b/>
          <w:bCs/>
          <w:sz w:val="36"/>
          <w:szCs w:val="36"/>
        </w:rPr>
        <w:t>Evaluating the Native Oxide of Titanium as an Electrocatalyst for Oxalic Acid Reduction</w:t>
      </w:r>
    </w:p>
    <w:p w14:paraId="1A115609" w14:textId="77777777" w:rsidR="00296FD0" w:rsidRPr="00280651" w:rsidRDefault="00296FD0" w:rsidP="00296FD0">
      <w:pPr>
        <w:jc w:val="center"/>
        <w:rPr>
          <w:rFonts w:ascii="Calibri" w:hAnsi="Calibri" w:cs="Calibri"/>
          <w:i/>
          <w:iCs/>
          <w:lang w:val="de-DE"/>
        </w:rPr>
      </w:pPr>
      <w:r w:rsidRPr="007B26F4">
        <w:rPr>
          <w:rFonts w:ascii="Calibri" w:hAnsi="Calibri" w:cs="Calibri"/>
          <w:b/>
          <w:bCs/>
        </w:rPr>
        <w:tab/>
      </w:r>
      <w:r w:rsidRPr="00280651">
        <w:rPr>
          <w:rFonts w:ascii="Calibri" w:hAnsi="Calibri" w:cs="Calibri"/>
          <w:i/>
          <w:iCs/>
          <w:lang w:val="de-DE"/>
        </w:rPr>
        <w:t>Halilu Sale</w:t>
      </w:r>
      <w:r w:rsidRPr="00280651">
        <w:rPr>
          <w:rFonts w:ascii="Calibri" w:hAnsi="Calibri" w:cs="Calibri"/>
          <w:i/>
          <w:iCs/>
          <w:vertAlign w:val="superscript"/>
          <w:lang w:val="de-DE"/>
        </w:rPr>
        <w:t>1,2</w:t>
      </w:r>
      <w:r w:rsidRPr="00280651">
        <w:rPr>
          <w:rFonts w:ascii="Calibri" w:hAnsi="Calibri" w:cs="Calibri"/>
          <w:i/>
          <w:iCs/>
          <w:lang w:val="de-DE"/>
        </w:rPr>
        <w:t>, Zeliha Ertekin</w:t>
      </w:r>
      <w:r w:rsidRPr="00280651">
        <w:rPr>
          <w:rFonts w:ascii="Calibri" w:hAnsi="Calibri" w:cs="Calibri"/>
          <w:i/>
          <w:iCs/>
          <w:vertAlign w:val="superscript"/>
          <w:lang w:val="de-DE"/>
        </w:rPr>
        <w:t>1,3</w:t>
      </w:r>
      <w:r w:rsidRPr="00280651">
        <w:rPr>
          <w:rFonts w:ascii="Calibri" w:hAnsi="Calibri" w:cs="Calibri"/>
          <w:i/>
          <w:iCs/>
          <w:lang w:val="de-DE"/>
        </w:rPr>
        <w:t>, Paula L. Lalaguna</w:t>
      </w:r>
      <w:r w:rsidRPr="00280651">
        <w:rPr>
          <w:rFonts w:ascii="Calibri" w:hAnsi="Calibri" w:cs="Calibri"/>
          <w:i/>
          <w:iCs/>
          <w:vertAlign w:val="superscript"/>
          <w:lang w:val="de-DE"/>
        </w:rPr>
        <w:t>1</w:t>
      </w:r>
      <w:r w:rsidRPr="00280651">
        <w:rPr>
          <w:rFonts w:ascii="Calibri" w:hAnsi="Calibri" w:cs="Calibri"/>
          <w:i/>
          <w:iCs/>
          <w:lang w:val="de-DE"/>
        </w:rPr>
        <w:t>, Malcolm Kadodwala</w:t>
      </w:r>
      <w:r w:rsidRPr="00280651">
        <w:rPr>
          <w:rFonts w:ascii="Calibri" w:hAnsi="Calibri" w:cs="Calibri"/>
          <w:i/>
          <w:iCs/>
          <w:vertAlign w:val="superscript"/>
          <w:lang w:val="de-DE"/>
        </w:rPr>
        <w:t>1</w:t>
      </w:r>
      <w:r w:rsidRPr="00280651">
        <w:rPr>
          <w:rFonts w:ascii="Calibri" w:hAnsi="Calibri" w:cs="Calibri"/>
          <w:i/>
          <w:iCs/>
          <w:lang w:val="de-DE"/>
        </w:rPr>
        <w:t>, Mark D. Symes</w:t>
      </w:r>
      <w:r w:rsidRPr="00280651">
        <w:rPr>
          <w:rFonts w:ascii="Calibri" w:hAnsi="Calibri" w:cs="Calibri"/>
          <w:i/>
          <w:iCs/>
          <w:vertAlign w:val="superscript"/>
          <w:lang w:val="de-DE"/>
        </w:rPr>
        <w:t>1</w:t>
      </w:r>
      <w:r w:rsidRPr="00280651">
        <w:rPr>
          <w:rFonts w:ascii="Calibri" w:hAnsi="Calibri" w:cs="Calibri"/>
          <w:i/>
          <w:iCs/>
          <w:lang w:val="de-DE"/>
        </w:rPr>
        <w:t>*</w:t>
      </w:r>
    </w:p>
    <w:p w14:paraId="4AE6F4EF" w14:textId="77777777" w:rsidR="00A74366" w:rsidRPr="00280651" w:rsidRDefault="00A74366" w:rsidP="00296FD0">
      <w:pPr>
        <w:jc w:val="center"/>
        <w:rPr>
          <w:rFonts w:ascii="Calibri" w:hAnsi="Calibri" w:cs="Calibri"/>
          <w:i/>
          <w:iCs/>
          <w:lang w:val="de-DE"/>
        </w:rPr>
      </w:pPr>
    </w:p>
    <w:p w14:paraId="261E571C" w14:textId="77777777" w:rsidR="00296FD0" w:rsidRPr="007B26F4" w:rsidRDefault="00296FD0" w:rsidP="00296FD0">
      <w:pPr>
        <w:pStyle w:val="ListParagraph"/>
        <w:jc w:val="center"/>
        <w:rPr>
          <w:rFonts w:ascii="Calibri" w:hAnsi="Calibri" w:cs="Calibri"/>
          <w:i/>
          <w:iCs/>
          <w:lang w:val="en-US"/>
        </w:rPr>
      </w:pPr>
      <w:r w:rsidRPr="007B26F4">
        <w:rPr>
          <w:rFonts w:ascii="Calibri" w:hAnsi="Calibri" w:cs="Calibri"/>
          <w:i/>
          <w:iCs/>
          <w:lang w:val="en-US"/>
        </w:rPr>
        <w:t>1. School of Chemistry, University of Glasgow, G12 8QQ Glasgow, UK.</w:t>
      </w:r>
    </w:p>
    <w:p w14:paraId="75009DB8" w14:textId="77777777" w:rsidR="00296FD0" w:rsidRPr="007B26F4" w:rsidRDefault="00296FD0" w:rsidP="00296FD0">
      <w:pPr>
        <w:pStyle w:val="ListParagraph"/>
        <w:jc w:val="center"/>
        <w:rPr>
          <w:rFonts w:ascii="Calibri" w:hAnsi="Calibri" w:cs="Calibri"/>
          <w:i/>
          <w:iCs/>
          <w:lang w:val="en-US"/>
        </w:rPr>
      </w:pPr>
      <w:r w:rsidRPr="007B26F4">
        <w:rPr>
          <w:rFonts w:ascii="Calibri" w:hAnsi="Calibri" w:cs="Calibri"/>
          <w:i/>
          <w:iCs/>
          <w:lang w:val="en-US"/>
        </w:rPr>
        <w:t xml:space="preserve">2. Energy Commission of Nigeria, Plot 701c </w:t>
      </w:r>
      <w:proofErr w:type="spellStart"/>
      <w:r w:rsidRPr="007B26F4">
        <w:rPr>
          <w:rFonts w:ascii="Calibri" w:hAnsi="Calibri" w:cs="Calibri"/>
          <w:i/>
          <w:iCs/>
          <w:lang w:val="en-US"/>
        </w:rPr>
        <w:t>Garki</w:t>
      </w:r>
      <w:proofErr w:type="spellEnd"/>
      <w:r w:rsidRPr="007B26F4">
        <w:rPr>
          <w:rFonts w:ascii="Calibri" w:hAnsi="Calibri" w:cs="Calibri"/>
          <w:i/>
          <w:iCs/>
          <w:lang w:val="en-US"/>
        </w:rPr>
        <w:t>-Abuja, Nigeria</w:t>
      </w:r>
    </w:p>
    <w:p w14:paraId="33AF7FCD" w14:textId="77777777" w:rsidR="00296FD0" w:rsidRPr="007B26F4" w:rsidRDefault="00296FD0" w:rsidP="00296FD0">
      <w:pPr>
        <w:pStyle w:val="ListParagraph"/>
        <w:jc w:val="center"/>
        <w:rPr>
          <w:rFonts w:ascii="Calibri" w:hAnsi="Calibri" w:cs="Calibri"/>
          <w:i/>
          <w:iCs/>
          <w:lang w:val="en-US"/>
        </w:rPr>
      </w:pPr>
      <w:r w:rsidRPr="007B26F4">
        <w:rPr>
          <w:rFonts w:ascii="Calibri" w:hAnsi="Calibri" w:cs="Calibri"/>
          <w:i/>
          <w:iCs/>
          <w:lang w:val="en-US"/>
        </w:rPr>
        <w:t xml:space="preserve">3. </w:t>
      </w:r>
      <w:proofErr w:type="spellStart"/>
      <w:r w:rsidRPr="007B26F4">
        <w:rPr>
          <w:rFonts w:ascii="Calibri" w:hAnsi="Calibri" w:cs="Calibri"/>
          <w:i/>
          <w:iCs/>
          <w:lang w:val="en-US"/>
        </w:rPr>
        <w:t>Hacettepe</w:t>
      </w:r>
      <w:proofErr w:type="spellEnd"/>
      <w:r w:rsidRPr="007B26F4">
        <w:rPr>
          <w:rFonts w:ascii="Calibri" w:hAnsi="Calibri" w:cs="Calibri"/>
          <w:i/>
          <w:iCs/>
          <w:lang w:val="en-US"/>
        </w:rPr>
        <w:t xml:space="preserve"> University, Faculty of Science, Department of Chemistry, </w:t>
      </w:r>
      <w:proofErr w:type="spellStart"/>
      <w:r w:rsidRPr="007B26F4">
        <w:rPr>
          <w:rFonts w:ascii="Calibri" w:hAnsi="Calibri" w:cs="Calibri"/>
          <w:i/>
          <w:iCs/>
          <w:lang w:val="en-US"/>
        </w:rPr>
        <w:t>Beytepe</w:t>
      </w:r>
      <w:proofErr w:type="spellEnd"/>
      <w:r w:rsidRPr="007B26F4">
        <w:rPr>
          <w:rFonts w:ascii="Calibri" w:hAnsi="Calibri" w:cs="Calibri"/>
          <w:i/>
          <w:iCs/>
          <w:lang w:val="en-US"/>
        </w:rPr>
        <w:t xml:space="preserve">, 06800 Ankara, Turkey. </w:t>
      </w:r>
    </w:p>
    <w:p w14:paraId="133059EF" w14:textId="77777777" w:rsidR="00A74366" w:rsidRPr="007B26F4" w:rsidRDefault="00A74366" w:rsidP="00296FD0">
      <w:pPr>
        <w:pStyle w:val="ListParagraph"/>
        <w:jc w:val="center"/>
        <w:rPr>
          <w:rFonts w:ascii="Calibri" w:hAnsi="Calibri" w:cs="Calibri"/>
          <w:i/>
          <w:iCs/>
          <w:lang w:val="en-US"/>
        </w:rPr>
      </w:pPr>
    </w:p>
    <w:p w14:paraId="6EC69AEF" w14:textId="77777777" w:rsidR="00296FD0" w:rsidRPr="007B26F4" w:rsidRDefault="00296FD0" w:rsidP="00296FD0">
      <w:pPr>
        <w:pStyle w:val="ListParagraph"/>
        <w:jc w:val="center"/>
        <w:rPr>
          <w:rFonts w:ascii="Calibri" w:hAnsi="Calibri" w:cs="Calibri"/>
          <w:lang w:val="en-US"/>
        </w:rPr>
      </w:pPr>
    </w:p>
    <w:p w14:paraId="5432BD42" w14:textId="3BFBBFBD" w:rsidR="00296FD0" w:rsidRPr="007B26F4" w:rsidRDefault="00296FD0" w:rsidP="00296FD0">
      <w:pPr>
        <w:pStyle w:val="ListParagraph"/>
        <w:jc w:val="center"/>
        <w:rPr>
          <w:rFonts w:ascii="Calibri" w:hAnsi="Calibri" w:cs="Calibri"/>
          <w:i/>
          <w:iCs/>
          <w:lang w:val="en-US"/>
        </w:rPr>
      </w:pPr>
      <w:r w:rsidRPr="007B26F4">
        <w:rPr>
          <w:rFonts w:ascii="Calibri" w:hAnsi="Calibri" w:cs="Calibri"/>
          <w:i/>
          <w:iCs/>
          <w:lang w:val="en-US"/>
        </w:rPr>
        <w:t xml:space="preserve">Corresponding author email: </w:t>
      </w:r>
      <w:hyperlink r:id="rId7" w:history="1">
        <w:r w:rsidRPr="007B26F4">
          <w:rPr>
            <w:rStyle w:val="Hyperlink"/>
            <w:rFonts w:ascii="Calibri" w:hAnsi="Calibri" w:cs="Calibri"/>
            <w:i/>
            <w:iCs/>
            <w:lang w:val="en-US"/>
          </w:rPr>
          <w:t>mark.symes@glasgow.ac.uk</w:t>
        </w:r>
      </w:hyperlink>
    </w:p>
    <w:p w14:paraId="7B6BF62D" w14:textId="1650BE1A" w:rsidR="004267C5" w:rsidRPr="007B26F4" w:rsidRDefault="004267C5">
      <w:pPr>
        <w:rPr>
          <w:rFonts w:ascii="Calibri" w:hAnsi="Calibri" w:cs="Calibri"/>
          <w:lang w:val="en-US"/>
        </w:rPr>
      </w:pPr>
    </w:p>
    <w:p w14:paraId="51240DB3" w14:textId="0EAAD150" w:rsidR="00243E09" w:rsidRPr="001C0F17" w:rsidRDefault="00243E09" w:rsidP="004A10A6">
      <w:pPr>
        <w:pStyle w:val="Heading1"/>
        <w:spacing w:before="0" w:after="0"/>
      </w:pPr>
      <w:bookmarkStart w:id="0" w:name="_Toc155907120"/>
      <w:bookmarkStart w:id="1" w:name="_Toc165105681"/>
      <w:bookmarkStart w:id="2" w:name="_Toc165448730"/>
      <w:r w:rsidRPr="001C0F17">
        <w:t>Materials and Chemicals</w:t>
      </w:r>
      <w:bookmarkEnd w:id="0"/>
      <w:bookmarkEnd w:id="1"/>
      <w:bookmarkEnd w:id="2"/>
      <w:r w:rsidRPr="001C0F17">
        <w:t xml:space="preserve"> </w:t>
      </w:r>
    </w:p>
    <w:p w14:paraId="5CA441D7" w14:textId="77777777" w:rsidR="004A10A6" w:rsidRDefault="00243E09" w:rsidP="004A10A6">
      <w:pPr>
        <w:spacing w:after="0" w:line="360" w:lineRule="auto"/>
        <w:jc w:val="both"/>
        <w:rPr>
          <w:rFonts w:ascii="Calibri" w:hAnsi="Calibri" w:cs="Calibri"/>
          <w:sz w:val="24"/>
          <w:szCs w:val="24"/>
        </w:rPr>
      </w:pPr>
      <w:r w:rsidRPr="007B26F4">
        <w:rPr>
          <w:rFonts w:ascii="Calibri" w:hAnsi="Calibri" w:cs="Calibri"/>
          <w:sz w:val="24"/>
          <w:szCs w:val="24"/>
        </w:rPr>
        <w:t>The following materials were obtained from their respective suppliers and used without further purification: oxalic acid (anhydrous for synthesis, Sigma-Aldrich, 99.0%),</w:t>
      </w:r>
      <w:r w:rsidRPr="007B26F4">
        <w:rPr>
          <w:rFonts w:ascii="Calibri" w:hAnsi="Calibri" w:cs="Calibri"/>
          <w:b/>
          <w:bCs/>
          <w:sz w:val="24"/>
          <w:szCs w:val="24"/>
        </w:rPr>
        <w:t xml:space="preserve"> </w:t>
      </w:r>
      <w:r w:rsidRPr="007B26F4">
        <w:rPr>
          <w:rFonts w:ascii="Calibri" w:hAnsi="Calibri" w:cs="Calibri"/>
          <w:sz w:val="24"/>
          <w:szCs w:val="24"/>
        </w:rPr>
        <w:t>sulfuric acid (H</w:t>
      </w:r>
      <w:r w:rsidRPr="007B26F4">
        <w:rPr>
          <w:rFonts w:ascii="Calibri" w:hAnsi="Calibri" w:cs="Calibri"/>
          <w:sz w:val="24"/>
          <w:szCs w:val="24"/>
          <w:vertAlign w:val="subscript"/>
        </w:rPr>
        <w:t>2</w:t>
      </w:r>
      <w:r w:rsidRPr="007B26F4">
        <w:rPr>
          <w:rFonts w:ascii="Calibri" w:hAnsi="Calibri" w:cs="Calibri"/>
          <w:sz w:val="24"/>
          <w:szCs w:val="24"/>
        </w:rPr>
        <w:t>SO</w:t>
      </w:r>
      <w:r w:rsidRPr="007B26F4">
        <w:rPr>
          <w:rFonts w:ascii="Calibri" w:hAnsi="Calibri" w:cs="Calibri"/>
          <w:sz w:val="24"/>
          <w:szCs w:val="24"/>
          <w:vertAlign w:val="subscript"/>
        </w:rPr>
        <w:t>4</w:t>
      </w:r>
      <w:r w:rsidRPr="007B26F4">
        <w:rPr>
          <w:rFonts w:ascii="Calibri" w:hAnsi="Calibri" w:cs="Calibri"/>
          <w:sz w:val="24"/>
          <w:szCs w:val="24"/>
        </w:rPr>
        <w:t xml:space="preserve">, Fisher Chemical, 95.0%), acetone (technical grade, VWR chemicals, ≥ 99.0%), sodium </w:t>
      </w:r>
      <w:proofErr w:type="spellStart"/>
      <w:r w:rsidRPr="007B26F4">
        <w:rPr>
          <w:rFonts w:ascii="Calibri" w:hAnsi="Calibri" w:cs="Calibri"/>
          <w:sz w:val="24"/>
          <w:szCs w:val="24"/>
        </w:rPr>
        <w:t>sulfate</w:t>
      </w:r>
      <w:proofErr w:type="spellEnd"/>
      <w:r w:rsidRPr="007B26F4">
        <w:rPr>
          <w:rFonts w:ascii="Calibri" w:hAnsi="Calibri" w:cs="Calibri"/>
          <w:sz w:val="24"/>
          <w:szCs w:val="24"/>
        </w:rPr>
        <w:t xml:space="preserve"> (Na</w:t>
      </w:r>
      <w:r w:rsidRPr="007B26F4">
        <w:rPr>
          <w:rFonts w:ascii="Calibri" w:hAnsi="Calibri" w:cs="Calibri"/>
          <w:sz w:val="24"/>
          <w:szCs w:val="24"/>
          <w:vertAlign w:val="subscript"/>
        </w:rPr>
        <w:t>2</w:t>
      </w:r>
      <w:r w:rsidRPr="007B26F4">
        <w:rPr>
          <w:rFonts w:ascii="Calibri" w:hAnsi="Calibri" w:cs="Calibri"/>
          <w:sz w:val="24"/>
          <w:szCs w:val="24"/>
        </w:rPr>
        <w:t>SO</w:t>
      </w:r>
      <w:r w:rsidRPr="007B26F4">
        <w:rPr>
          <w:rFonts w:ascii="Calibri" w:hAnsi="Calibri" w:cs="Calibri"/>
          <w:sz w:val="24"/>
          <w:szCs w:val="24"/>
          <w:vertAlign w:val="subscript"/>
        </w:rPr>
        <w:t>4</w:t>
      </w:r>
      <w:r w:rsidRPr="007B26F4">
        <w:rPr>
          <w:rFonts w:ascii="Calibri" w:hAnsi="Calibri" w:cs="Calibri"/>
          <w:sz w:val="24"/>
          <w:szCs w:val="24"/>
        </w:rPr>
        <w:t>, Sigma-Aldrich, 99.0%), argon (</w:t>
      </w:r>
      <w:proofErr w:type="spellStart"/>
      <w:r w:rsidRPr="007B26F4">
        <w:rPr>
          <w:rFonts w:ascii="Calibri" w:hAnsi="Calibri" w:cs="Calibri"/>
          <w:sz w:val="24"/>
          <w:szCs w:val="24"/>
        </w:rPr>
        <w:t>Ar</w:t>
      </w:r>
      <w:proofErr w:type="spellEnd"/>
      <w:r w:rsidRPr="007B26F4">
        <w:rPr>
          <w:rFonts w:ascii="Calibri" w:hAnsi="Calibri" w:cs="Calibri"/>
          <w:sz w:val="24"/>
          <w:szCs w:val="24"/>
        </w:rPr>
        <w:t xml:space="preserve">, supplied by BOC, 99.99%), titanium foil (Thermo-Scientific, 0.25mm thick, 99.5% metal basis), platinum foil (Pt, Alfa </w:t>
      </w:r>
      <w:proofErr w:type="spellStart"/>
      <w:r w:rsidRPr="007B26F4">
        <w:rPr>
          <w:rFonts w:ascii="Calibri" w:hAnsi="Calibri" w:cs="Calibri"/>
          <w:sz w:val="24"/>
          <w:szCs w:val="24"/>
        </w:rPr>
        <w:t>Aesar</w:t>
      </w:r>
      <w:proofErr w:type="spellEnd"/>
      <w:r w:rsidRPr="007B26F4">
        <w:rPr>
          <w:rFonts w:ascii="Calibri" w:hAnsi="Calibri" w:cs="Calibri"/>
          <w:sz w:val="24"/>
          <w:szCs w:val="24"/>
        </w:rPr>
        <w:t xml:space="preserve">, 0.25 mm, 99.99% metals basis), </w:t>
      </w:r>
      <w:proofErr w:type="spellStart"/>
      <w:r w:rsidRPr="007B26F4">
        <w:rPr>
          <w:rFonts w:ascii="Calibri" w:hAnsi="Calibri" w:cs="Calibri"/>
          <w:sz w:val="24"/>
          <w:szCs w:val="24"/>
        </w:rPr>
        <w:t>Nafion</w:t>
      </w:r>
      <w:proofErr w:type="spellEnd"/>
      <w:r w:rsidRPr="007B26F4">
        <w:rPr>
          <w:rFonts w:ascii="Calibri" w:hAnsi="Calibri" w:cs="Calibri"/>
          <w:sz w:val="24"/>
          <w:szCs w:val="24"/>
        </w:rPr>
        <w:t xml:space="preserve"> membrane (Nafion-117, manufactured by Fuel Cell Store</w:t>
      </w:r>
      <w:bookmarkStart w:id="3" w:name="_Hlk136022494"/>
      <w:r w:rsidRPr="007B26F4">
        <w:rPr>
          <w:rFonts w:ascii="Calibri" w:hAnsi="Calibri" w:cs="Calibri"/>
          <w:sz w:val="24"/>
          <w:szCs w:val="24"/>
        </w:rPr>
        <w:t>)</w:t>
      </w:r>
      <w:bookmarkStart w:id="4" w:name="_Toc155907121"/>
      <w:bookmarkStart w:id="5" w:name="_Toc165105682"/>
      <w:bookmarkStart w:id="6" w:name="_Toc165448731"/>
      <w:bookmarkEnd w:id="3"/>
      <w:r w:rsidR="004A10A6">
        <w:rPr>
          <w:rFonts w:ascii="Calibri" w:hAnsi="Calibri" w:cs="Calibri"/>
          <w:sz w:val="24"/>
          <w:szCs w:val="24"/>
        </w:rPr>
        <w:t>.</w:t>
      </w:r>
    </w:p>
    <w:p w14:paraId="2BCDC2CB" w14:textId="77777777" w:rsidR="004A10A6" w:rsidRDefault="004A10A6" w:rsidP="004A10A6">
      <w:pPr>
        <w:spacing w:after="0" w:line="360" w:lineRule="auto"/>
        <w:jc w:val="both"/>
        <w:rPr>
          <w:rFonts w:ascii="Calibri" w:hAnsi="Calibri" w:cs="Calibri"/>
          <w:sz w:val="24"/>
          <w:szCs w:val="24"/>
        </w:rPr>
      </w:pPr>
    </w:p>
    <w:p w14:paraId="7F643527" w14:textId="247EB40B" w:rsidR="00243E09" w:rsidRPr="00970380" w:rsidRDefault="00243E09" w:rsidP="004A10A6">
      <w:pPr>
        <w:spacing w:after="0" w:line="360" w:lineRule="auto"/>
        <w:jc w:val="both"/>
        <w:rPr>
          <w:rFonts w:ascii="Calibri" w:hAnsi="Calibri" w:cs="Calibri"/>
          <w:sz w:val="24"/>
          <w:szCs w:val="24"/>
        </w:rPr>
      </w:pPr>
      <w:r w:rsidRPr="001C0F17">
        <w:rPr>
          <w:b/>
        </w:rPr>
        <w:t>Preparation of Electrodes</w:t>
      </w:r>
      <w:bookmarkEnd w:id="4"/>
      <w:bookmarkEnd w:id="5"/>
      <w:bookmarkEnd w:id="6"/>
    </w:p>
    <w:p w14:paraId="3D6DF674" w14:textId="3C865359" w:rsidR="00970380" w:rsidRPr="00970380" w:rsidRDefault="00243E09" w:rsidP="004A10A6">
      <w:pPr>
        <w:spacing w:after="0" w:line="360" w:lineRule="auto"/>
        <w:jc w:val="both"/>
        <w:rPr>
          <w:rFonts w:ascii="Calibri" w:hAnsi="Calibri" w:cs="Calibri"/>
          <w:color w:val="000000"/>
          <w:sz w:val="24"/>
          <w:szCs w:val="24"/>
        </w:rPr>
      </w:pPr>
      <w:r w:rsidRPr="007B26F4">
        <w:rPr>
          <w:rFonts w:ascii="Calibri" w:hAnsi="Calibri" w:cs="Calibri"/>
          <w:sz w:val="24"/>
          <w:szCs w:val="24"/>
        </w:rPr>
        <w:t xml:space="preserve">The titanium foil obtained from Thermo-Scientific and was mechanically cut into </w:t>
      </w:r>
      <w:r w:rsidRPr="007B26F4">
        <w:rPr>
          <w:rStyle w:val="cf01"/>
          <w:rFonts w:ascii="Calibri" w:hAnsi="Calibri" w:cs="Calibri"/>
          <w:sz w:val="24"/>
          <w:szCs w:val="24"/>
        </w:rPr>
        <w:t>1 × 1 cm pieces (2 cm</w:t>
      </w:r>
      <w:r w:rsidRPr="007B26F4">
        <w:rPr>
          <w:rStyle w:val="cf01"/>
          <w:rFonts w:ascii="Calibri" w:hAnsi="Calibri" w:cs="Calibri"/>
          <w:sz w:val="24"/>
          <w:szCs w:val="24"/>
          <w:vertAlign w:val="superscript"/>
        </w:rPr>
        <w:t>2</w:t>
      </w:r>
      <w:r w:rsidRPr="007B26F4">
        <w:rPr>
          <w:rStyle w:val="cf01"/>
          <w:rFonts w:ascii="Calibri" w:hAnsi="Calibri" w:cs="Calibri"/>
          <w:sz w:val="24"/>
          <w:szCs w:val="24"/>
        </w:rPr>
        <w:t xml:space="preserve"> total area, including both the front and back of the electrode) for cyclic voltammetry or </w:t>
      </w:r>
      <w:r w:rsidRPr="007B26F4">
        <w:rPr>
          <w:rFonts w:ascii="Calibri" w:hAnsi="Calibri" w:cs="Calibri"/>
          <w:sz w:val="24"/>
          <w:szCs w:val="24"/>
        </w:rPr>
        <w:t>2</w:t>
      </w:r>
      <w:r w:rsidRPr="007B26F4">
        <w:rPr>
          <w:rStyle w:val="cf01"/>
          <w:rFonts w:ascii="Calibri" w:hAnsi="Calibri" w:cs="Calibri"/>
          <w:sz w:val="24"/>
          <w:szCs w:val="24"/>
        </w:rPr>
        <w:t xml:space="preserve"> × 1 cm</w:t>
      </w:r>
      <w:r w:rsidRPr="007B26F4">
        <w:rPr>
          <w:rFonts w:ascii="Calibri" w:hAnsi="Calibri" w:cs="Calibri"/>
          <w:sz w:val="24"/>
          <w:szCs w:val="24"/>
        </w:rPr>
        <w:t xml:space="preserve"> (4.0 cm</w:t>
      </w:r>
      <w:r w:rsidRPr="007B26F4">
        <w:rPr>
          <w:rFonts w:ascii="Calibri" w:hAnsi="Calibri" w:cs="Calibri"/>
          <w:sz w:val="24"/>
          <w:szCs w:val="24"/>
          <w:vertAlign w:val="superscript"/>
        </w:rPr>
        <w:t xml:space="preserve">2 </w:t>
      </w:r>
      <w:r w:rsidRPr="007B26F4">
        <w:rPr>
          <w:rFonts w:ascii="Calibri" w:hAnsi="Calibri" w:cs="Calibri"/>
          <w:sz w:val="24"/>
          <w:szCs w:val="24"/>
        </w:rPr>
        <w:t xml:space="preserve">total area) pieces for bulk electrolysis experiments. Thereafter, the electrodes were ultrasonically cleaned in deionised water with a resistance of 15 MΩ for 5 minutes each to clean the surfaces; the cleaned titanium electrodes were then dried under air and were used as cathode materials. Platinum foil was used </w:t>
      </w:r>
      <w:r w:rsidRPr="007B26F4">
        <w:rPr>
          <w:rFonts w:ascii="Calibri" w:hAnsi="Calibri" w:cs="Calibri"/>
          <w:color w:val="000000"/>
          <w:sz w:val="24"/>
          <w:szCs w:val="24"/>
        </w:rPr>
        <w:t xml:space="preserve">as the anode. </w:t>
      </w:r>
    </w:p>
    <w:p w14:paraId="720557B8" w14:textId="77777777" w:rsidR="00970380" w:rsidRDefault="00970380" w:rsidP="004A10A6">
      <w:pPr>
        <w:spacing w:after="0" w:line="360" w:lineRule="auto"/>
        <w:jc w:val="both"/>
        <w:rPr>
          <w:rFonts w:eastAsia="DengXian Light"/>
          <w:b/>
          <w:bCs/>
        </w:rPr>
      </w:pPr>
    </w:p>
    <w:p w14:paraId="48D0F134" w14:textId="5D701B18" w:rsidR="00970380" w:rsidRDefault="00B16A7A" w:rsidP="004A10A6">
      <w:pPr>
        <w:spacing w:after="0" w:line="360" w:lineRule="auto"/>
        <w:jc w:val="both"/>
        <w:rPr>
          <w:rFonts w:ascii="Calibri" w:hAnsi="Calibri" w:cs="Calibri"/>
          <w:color w:val="000000"/>
          <w:sz w:val="24"/>
          <w:szCs w:val="24"/>
        </w:rPr>
      </w:pPr>
      <w:r w:rsidRPr="001C0F17">
        <w:rPr>
          <w:rFonts w:eastAsia="DengXian Light"/>
          <w:b/>
          <w:bCs/>
        </w:rPr>
        <w:t xml:space="preserve">Bulk Electrolysis </w:t>
      </w:r>
      <w:r w:rsidR="00116CC5">
        <w:rPr>
          <w:rFonts w:eastAsia="DengXian Light"/>
          <w:b/>
          <w:bCs/>
        </w:rPr>
        <w:t>methods</w:t>
      </w:r>
    </w:p>
    <w:p w14:paraId="081A1532" w14:textId="48D259EF" w:rsidR="00B16A7A" w:rsidRDefault="00B16A7A" w:rsidP="004A10A6">
      <w:pPr>
        <w:spacing w:after="0" w:line="360" w:lineRule="auto"/>
        <w:jc w:val="both"/>
        <w:rPr>
          <w:rFonts w:ascii="Calibri" w:eastAsia="DengXian" w:hAnsi="Calibri" w:cs="Calibri"/>
          <w:bCs/>
          <w:sz w:val="24"/>
          <w:szCs w:val="24"/>
        </w:rPr>
      </w:pPr>
      <w:r w:rsidRPr="00B16A7A">
        <w:rPr>
          <w:rFonts w:ascii="Calibri" w:eastAsia="DengXian" w:hAnsi="Calibri" w:cs="Calibri"/>
          <w:bCs/>
          <w:sz w:val="24"/>
          <w:szCs w:val="24"/>
        </w:rPr>
        <w:lastRenderedPageBreak/>
        <w:t>Bulk electrolysis was performed by chronoamperometry; 40 mL of 0.03 M oxalic acid in 0.2 M Na</w:t>
      </w:r>
      <w:r w:rsidRPr="00B16A7A">
        <w:rPr>
          <w:rFonts w:ascii="Calibri" w:eastAsia="DengXian" w:hAnsi="Calibri" w:cs="Calibri"/>
          <w:bCs/>
          <w:sz w:val="24"/>
          <w:szCs w:val="24"/>
          <w:vertAlign w:val="subscript"/>
        </w:rPr>
        <w:t>2</w:t>
      </w:r>
      <w:r w:rsidRPr="00B16A7A">
        <w:rPr>
          <w:rFonts w:ascii="Calibri" w:eastAsia="DengXian" w:hAnsi="Calibri" w:cs="Calibri"/>
          <w:bCs/>
          <w:sz w:val="24"/>
          <w:szCs w:val="24"/>
        </w:rPr>
        <w:t>SO</w:t>
      </w:r>
      <w:r w:rsidRPr="00B16A7A">
        <w:rPr>
          <w:rFonts w:ascii="Calibri" w:eastAsia="DengXian" w:hAnsi="Calibri" w:cs="Calibri"/>
          <w:bCs/>
          <w:sz w:val="24"/>
          <w:szCs w:val="24"/>
          <w:vertAlign w:val="subscript"/>
        </w:rPr>
        <w:t>4</w:t>
      </w:r>
      <w:r w:rsidRPr="00B16A7A">
        <w:rPr>
          <w:rFonts w:ascii="Calibri" w:eastAsia="DengXian" w:hAnsi="Calibri" w:cs="Calibri"/>
          <w:bCs/>
          <w:sz w:val="24"/>
          <w:szCs w:val="24"/>
        </w:rPr>
        <w:t xml:space="preserve"> solution (pH = 2.2) was used in the cathodic compartment. The solution’s pH was measured with a pH meter (Hanna Instruments, HI 9025). In the anodic compartment, a solution of 0.2 M Na</w:t>
      </w:r>
      <w:r w:rsidRPr="00B16A7A">
        <w:rPr>
          <w:rFonts w:ascii="Calibri" w:eastAsia="DengXian" w:hAnsi="Calibri" w:cs="Calibri"/>
          <w:bCs/>
          <w:sz w:val="24"/>
          <w:szCs w:val="24"/>
          <w:vertAlign w:val="subscript"/>
        </w:rPr>
        <w:t>2</w:t>
      </w:r>
      <w:r w:rsidRPr="00B16A7A">
        <w:rPr>
          <w:rFonts w:ascii="Calibri" w:eastAsia="DengXian" w:hAnsi="Calibri" w:cs="Calibri"/>
          <w:bCs/>
          <w:sz w:val="24"/>
          <w:szCs w:val="24"/>
        </w:rPr>
        <w:t>SO</w:t>
      </w:r>
      <w:r w:rsidRPr="00B16A7A">
        <w:rPr>
          <w:rFonts w:ascii="Calibri" w:eastAsia="DengXian" w:hAnsi="Calibri" w:cs="Calibri"/>
          <w:bCs/>
          <w:sz w:val="24"/>
          <w:szCs w:val="24"/>
          <w:vertAlign w:val="subscript"/>
        </w:rPr>
        <w:t>4</w:t>
      </w:r>
      <w:r w:rsidRPr="00B16A7A">
        <w:rPr>
          <w:rFonts w:ascii="Calibri" w:eastAsia="DengXian" w:hAnsi="Calibri" w:cs="Calibri"/>
          <w:bCs/>
          <w:sz w:val="24"/>
          <w:szCs w:val="24"/>
        </w:rPr>
        <w:t xml:space="preserve"> (pH = 7.1) was employed, and the pH of the anodic compartment was adjusted by adding 1 M H</w:t>
      </w:r>
      <w:r w:rsidRPr="00B16A7A">
        <w:rPr>
          <w:rFonts w:ascii="Calibri" w:eastAsia="DengXian" w:hAnsi="Calibri" w:cs="Calibri"/>
          <w:bCs/>
          <w:sz w:val="24"/>
          <w:szCs w:val="24"/>
          <w:vertAlign w:val="subscript"/>
        </w:rPr>
        <w:t>2</w:t>
      </w:r>
      <w:r w:rsidRPr="00B16A7A">
        <w:rPr>
          <w:rFonts w:ascii="Calibri" w:eastAsia="DengXian" w:hAnsi="Calibri" w:cs="Calibri"/>
          <w:bCs/>
          <w:sz w:val="24"/>
          <w:szCs w:val="24"/>
        </w:rPr>
        <w:t>SO</w:t>
      </w:r>
      <w:r w:rsidRPr="00B16A7A">
        <w:rPr>
          <w:rFonts w:ascii="Calibri" w:eastAsia="DengXian" w:hAnsi="Calibri" w:cs="Calibri"/>
          <w:bCs/>
          <w:sz w:val="24"/>
          <w:szCs w:val="24"/>
          <w:vertAlign w:val="subscript"/>
        </w:rPr>
        <w:t>4</w:t>
      </w:r>
      <w:r w:rsidRPr="00B16A7A">
        <w:rPr>
          <w:rFonts w:ascii="Calibri" w:eastAsia="DengXian" w:hAnsi="Calibri" w:cs="Calibri"/>
          <w:bCs/>
          <w:sz w:val="24"/>
          <w:szCs w:val="24"/>
        </w:rPr>
        <w:t xml:space="preserve"> dropwise until it reached the same pH as the cathodic compartment. Bulk electrolysis was conducted using Gamry </w:t>
      </w:r>
      <w:proofErr w:type="spellStart"/>
      <w:r w:rsidRPr="00B16A7A">
        <w:rPr>
          <w:rFonts w:ascii="Calibri" w:eastAsia="DengXian" w:hAnsi="Calibri" w:cs="Calibri"/>
          <w:bCs/>
          <w:sz w:val="24"/>
          <w:szCs w:val="24"/>
        </w:rPr>
        <w:t>potentiostat</w:t>
      </w:r>
      <w:proofErr w:type="spellEnd"/>
      <w:r w:rsidRPr="00B16A7A">
        <w:rPr>
          <w:rFonts w:ascii="Calibri" w:eastAsia="DengXian" w:hAnsi="Calibri" w:cs="Calibri"/>
          <w:bCs/>
          <w:sz w:val="24"/>
          <w:szCs w:val="24"/>
        </w:rPr>
        <w:t>/</w:t>
      </w:r>
      <w:proofErr w:type="spellStart"/>
      <w:r w:rsidRPr="00B16A7A">
        <w:rPr>
          <w:rFonts w:ascii="Calibri" w:eastAsia="DengXian" w:hAnsi="Calibri" w:cs="Calibri"/>
          <w:bCs/>
          <w:sz w:val="24"/>
          <w:szCs w:val="24"/>
        </w:rPr>
        <w:t>galvanostat</w:t>
      </w:r>
      <w:proofErr w:type="spellEnd"/>
      <w:r w:rsidRPr="00B16A7A">
        <w:rPr>
          <w:rFonts w:ascii="Calibri" w:eastAsia="DengXian" w:hAnsi="Calibri" w:cs="Calibri"/>
          <w:bCs/>
          <w:sz w:val="24"/>
          <w:szCs w:val="24"/>
        </w:rPr>
        <w:t xml:space="preserve"> (Gamry Instruments Interface 1010E) for two hours at each potential, over the range −0.5 to −0.7 V (vs RHE) at a temperature of 25 °C. The bulk electrolysis setup is depicted in Figure S</w:t>
      </w:r>
      <w:r w:rsidRPr="007B26F4">
        <w:rPr>
          <w:rFonts w:ascii="Calibri" w:eastAsia="DengXian" w:hAnsi="Calibri" w:cs="Calibri"/>
          <w:bCs/>
          <w:sz w:val="24"/>
          <w:szCs w:val="24"/>
        </w:rPr>
        <w:t>1</w:t>
      </w:r>
      <w:r w:rsidRPr="00B16A7A">
        <w:rPr>
          <w:rFonts w:ascii="Calibri" w:eastAsia="DengXian" w:hAnsi="Calibri" w:cs="Calibri"/>
          <w:bCs/>
          <w:sz w:val="24"/>
          <w:szCs w:val="24"/>
        </w:rPr>
        <w:t xml:space="preserve">. </w:t>
      </w:r>
    </w:p>
    <w:p w14:paraId="6B5971FA" w14:textId="77777777" w:rsidR="004A10A6" w:rsidRDefault="004A10A6" w:rsidP="004A10A6">
      <w:pPr>
        <w:spacing w:after="0" w:line="360" w:lineRule="auto"/>
        <w:jc w:val="both"/>
        <w:rPr>
          <w:rFonts w:ascii="Calibri" w:eastAsia="DengXian" w:hAnsi="Calibri" w:cs="Calibri"/>
          <w:bCs/>
          <w:sz w:val="24"/>
          <w:szCs w:val="24"/>
        </w:rPr>
      </w:pPr>
    </w:p>
    <w:p w14:paraId="68DB7BDB" w14:textId="77777777" w:rsidR="004A10A6" w:rsidRPr="007B26F4" w:rsidRDefault="004A10A6" w:rsidP="004A10A6">
      <w:pPr>
        <w:keepNext/>
        <w:rPr>
          <w:rFonts w:ascii="Calibri" w:hAnsi="Calibri" w:cs="Calibri"/>
        </w:rPr>
      </w:pPr>
      <w:r w:rsidRPr="007B26F4">
        <w:rPr>
          <w:rFonts w:ascii="Calibri" w:hAnsi="Calibri" w:cs="Calibri"/>
          <w:noProof/>
        </w:rPr>
        <w:drawing>
          <wp:inline distT="0" distB="0" distL="0" distR="0" wp14:anchorId="6925DF76" wp14:editId="6CFA9AB0">
            <wp:extent cx="5564292" cy="2628000"/>
            <wp:effectExtent l="0" t="0" r="0" b="1270"/>
            <wp:docPr id="2083136470" name="Picture 1" descr="Diagram of a gaseou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36470" name="Picture 1" descr="Diagram of a gaseous process"/>
                    <pic:cNvPicPr/>
                  </pic:nvPicPr>
                  <pic:blipFill>
                    <a:blip r:embed="rId8"/>
                    <a:stretch>
                      <a:fillRect/>
                    </a:stretch>
                  </pic:blipFill>
                  <pic:spPr>
                    <a:xfrm>
                      <a:off x="0" y="0"/>
                      <a:ext cx="5564292" cy="2628000"/>
                    </a:xfrm>
                    <a:prstGeom prst="rect">
                      <a:avLst/>
                    </a:prstGeom>
                  </pic:spPr>
                </pic:pic>
              </a:graphicData>
            </a:graphic>
          </wp:inline>
        </w:drawing>
      </w:r>
    </w:p>
    <w:p w14:paraId="472B749F" w14:textId="77777777" w:rsidR="004A10A6" w:rsidRPr="00DB379C" w:rsidRDefault="004A10A6" w:rsidP="004A10A6">
      <w:pPr>
        <w:pStyle w:val="Caption"/>
        <w:spacing w:line="276" w:lineRule="auto"/>
        <w:jc w:val="both"/>
        <w:rPr>
          <w:rFonts w:ascii="Calibri" w:eastAsia="DengXian" w:hAnsi="Calibri" w:cs="Calibri"/>
          <w:i w:val="0"/>
          <w:iCs w:val="0"/>
          <w:color w:val="000000"/>
          <w:sz w:val="24"/>
          <w:szCs w:val="24"/>
        </w:rPr>
      </w:pPr>
      <w:r w:rsidRPr="007B26F4">
        <w:rPr>
          <w:rFonts w:ascii="Calibri" w:hAnsi="Calibri" w:cs="Calibri"/>
          <w:b/>
          <w:bCs/>
          <w:i w:val="0"/>
          <w:iCs w:val="0"/>
          <w:sz w:val="24"/>
          <w:szCs w:val="24"/>
        </w:rPr>
        <w:t>Figure S</w:t>
      </w:r>
      <w:r w:rsidRPr="007B26F4">
        <w:rPr>
          <w:rFonts w:ascii="Calibri" w:hAnsi="Calibri" w:cs="Calibri"/>
          <w:b/>
          <w:bCs/>
          <w:i w:val="0"/>
          <w:iCs w:val="0"/>
          <w:sz w:val="24"/>
          <w:szCs w:val="24"/>
        </w:rPr>
        <w:fldChar w:fldCharType="begin"/>
      </w:r>
      <w:r w:rsidRPr="007B26F4">
        <w:rPr>
          <w:rFonts w:ascii="Calibri" w:hAnsi="Calibri" w:cs="Calibri"/>
          <w:b/>
          <w:bCs/>
          <w:i w:val="0"/>
          <w:iCs w:val="0"/>
          <w:sz w:val="24"/>
          <w:szCs w:val="24"/>
        </w:rPr>
        <w:instrText xml:space="preserve"> SEQ Figure \* ARABIC </w:instrText>
      </w:r>
      <w:r w:rsidRPr="007B26F4">
        <w:rPr>
          <w:rFonts w:ascii="Calibri" w:hAnsi="Calibri" w:cs="Calibri"/>
          <w:b/>
          <w:bCs/>
          <w:i w:val="0"/>
          <w:iCs w:val="0"/>
          <w:sz w:val="24"/>
          <w:szCs w:val="24"/>
        </w:rPr>
        <w:fldChar w:fldCharType="separate"/>
      </w:r>
      <w:r w:rsidRPr="007B26F4">
        <w:rPr>
          <w:rFonts w:ascii="Calibri" w:hAnsi="Calibri" w:cs="Calibri"/>
          <w:b/>
          <w:bCs/>
          <w:i w:val="0"/>
          <w:iCs w:val="0"/>
          <w:noProof/>
          <w:sz w:val="24"/>
          <w:szCs w:val="24"/>
        </w:rPr>
        <w:t>1</w:t>
      </w:r>
      <w:r w:rsidRPr="007B26F4">
        <w:rPr>
          <w:rFonts w:ascii="Calibri" w:hAnsi="Calibri" w:cs="Calibri"/>
          <w:b/>
          <w:bCs/>
          <w:i w:val="0"/>
          <w:iCs w:val="0"/>
          <w:sz w:val="24"/>
          <w:szCs w:val="24"/>
        </w:rPr>
        <w:fldChar w:fldCharType="end"/>
      </w:r>
      <w:r w:rsidRPr="007B26F4">
        <w:rPr>
          <w:rFonts w:ascii="Calibri" w:hAnsi="Calibri" w:cs="Calibri"/>
          <w:b/>
          <w:bCs/>
          <w:i w:val="0"/>
          <w:iCs w:val="0"/>
          <w:sz w:val="24"/>
          <w:szCs w:val="24"/>
        </w:rPr>
        <w:t>:</w:t>
      </w:r>
      <w:r w:rsidRPr="007B26F4">
        <w:rPr>
          <w:rFonts w:ascii="Calibri" w:hAnsi="Calibri" w:cs="Calibri"/>
          <w:sz w:val="24"/>
          <w:szCs w:val="24"/>
        </w:rPr>
        <w:t xml:space="preserve"> </w:t>
      </w:r>
      <w:r w:rsidRPr="007B26F4">
        <w:rPr>
          <w:rFonts w:ascii="Calibri" w:eastAsia="DengXian" w:hAnsi="Calibri" w:cs="Calibri"/>
          <w:i w:val="0"/>
          <w:iCs w:val="0"/>
          <w:color w:val="auto"/>
          <w:sz w:val="24"/>
          <w:szCs w:val="24"/>
        </w:rPr>
        <w:t xml:space="preserve">The H-cell set-up used for the electrochemical reduction of oxalic acid (OX) to glyoxylic acid (GO) and glycolic acid (GC). </w:t>
      </w:r>
      <w:r w:rsidRPr="007B26F4">
        <w:rPr>
          <w:rFonts w:ascii="Calibri" w:eastAsia="DengXian" w:hAnsi="Calibri" w:cs="Calibri"/>
          <w:i w:val="0"/>
          <w:iCs w:val="0"/>
          <w:color w:val="000000"/>
          <w:sz w:val="24"/>
          <w:szCs w:val="24"/>
        </w:rPr>
        <w:t>The right-hand compartment of the cell is where the working electrode (Ti foil with a surface area of 4 cm</w:t>
      </w:r>
      <w:r w:rsidRPr="007B26F4">
        <w:rPr>
          <w:rFonts w:ascii="Calibri" w:eastAsia="DengXian" w:hAnsi="Calibri" w:cs="Calibri"/>
          <w:i w:val="0"/>
          <w:iCs w:val="0"/>
          <w:color w:val="000000"/>
          <w:sz w:val="24"/>
          <w:szCs w:val="24"/>
          <w:vertAlign w:val="superscript"/>
        </w:rPr>
        <w:t>2</w:t>
      </w:r>
      <w:r w:rsidRPr="007B26F4">
        <w:rPr>
          <w:rFonts w:ascii="Calibri" w:eastAsia="DengXian" w:hAnsi="Calibri" w:cs="Calibri"/>
          <w:i w:val="0"/>
          <w:iCs w:val="0"/>
          <w:color w:val="000000"/>
          <w:sz w:val="24"/>
          <w:szCs w:val="24"/>
        </w:rPr>
        <w:t xml:space="preserve">) and a reference electrode (SCE) were placed, while the left-hand side contains the anolyte where the counter electrode (platinum foil) was placed. The two compartments were separated by a </w:t>
      </w:r>
      <w:proofErr w:type="spellStart"/>
      <w:r w:rsidRPr="007B26F4">
        <w:rPr>
          <w:rFonts w:ascii="Calibri" w:eastAsia="DengXian" w:hAnsi="Calibri" w:cs="Calibri"/>
          <w:i w:val="0"/>
          <w:iCs w:val="0"/>
          <w:color w:val="000000"/>
          <w:sz w:val="24"/>
          <w:szCs w:val="24"/>
        </w:rPr>
        <w:t>Nafion</w:t>
      </w:r>
      <w:proofErr w:type="spellEnd"/>
      <w:r w:rsidRPr="007B26F4">
        <w:rPr>
          <w:rFonts w:ascii="Calibri" w:eastAsia="DengXian" w:hAnsi="Calibri" w:cs="Calibri"/>
          <w:i w:val="0"/>
          <w:iCs w:val="0"/>
          <w:color w:val="000000"/>
          <w:sz w:val="24"/>
          <w:szCs w:val="24"/>
        </w:rPr>
        <w:t xml:space="preserve"> membrane. The experiment was conducted at a temperature of 25 </w:t>
      </w:r>
      <w:r w:rsidRPr="007B26F4">
        <w:rPr>
          <w:rFonts w:ascii="Calibri" w:eastAsia="DengXian" w:hAnsi="Calibri" w:cs="Calibri"/>
          <w:i w:val="0"/>
          <w:iCs w:val="0"/>
          <w:color w:val="202124"/>
          <w:sz w:val="24"/>
          <w:szCs w:val="24"/>
          <w:shd w:val="clear" w:color="auto" w:fill="FFFFFF"/>
        </w:rPr>
        <w:t>°C</w:t>
      </w:r>
      <w:r w:rsidRPr="007B26F4">
        <w:rPr>
          <w:rFonts w:ascii="Calibri" w:eastAsia="DengXian" w:hAnsi="Calibri" w:cs="Calibri"/>
          <w:i w:val="0"/>
          <w:iCs w:val="0"/>
          <w:color w:val="000000"/>
          <w:sz w:val="24"/>
          <w:szCs w:val="24"/>
        </w:rPr>
        <w:t xml:space="preserve"> for 2 hours at each applied potential.</w:t>
      </w:r>
    </w:p>
    <w:p w14:paraId="16557E50" w14:textId="77777777" w:rsidR="004A10A6" w:rsidRPr="00970380" w:rsidRDefault="004A10A6" w:rsidP="004A10A6">
      <w:pPr>
        <w:spacing w:after="0" w:line="360" w:lineRule="auto"/>
        <w:jc w:val="both"/>
        <w:rPr>
          <w:rFonts w:ascii="Calibri" w:hAnsi="Calibri" w:cs="Calibri"/>
          <w:color w:val="000000"/>
          <w:sz w:val="24"/>
          <w:szCs w:val="24"/>
        </w:rPr>
      </w:pPr>
    </w:p>
    <w:p w14:paraId="126E2592" w14:textId="77777777" w:rsidR="00296FD0" w:rsidRDefault="00296FD0" w:rsidP="004A10A6">
      <w:pPr>
        <w:spacing w:after="0"/>
        <w:rPr>
          <w:rFonts w:ascii="Calibri" w:hAnsi="Calibri" w:cs="Calibri"/>
        </w:rPr>
      </w:pPr>
    </w:p>
    <w:p w14:paraId="63CEEE7F" w14:textId="09C18DEC" w:rsidR="004A10A6" w:rsidRPr="00214209" w:rsidRDefault="004A10A6" w:rsidP="00843DEE">
      <w:pPr>
        <w:spacing w:after="0" w:line="360" w:lineRule="auto"/>
        <w:rPr>
          <w:rFonts w:eastAsia="DengXian Light"/>
          <w:b/>
          <w:bCs/>
        </w:rPr>
      </w:pPr>
      <w:r w:rsidRPr="00214209">
        <w:rPr>
          <w:rFonts w:eastAsia="DengXian Light"/>
          <w:b/>
          <w:bCs/>
        </w:rPr>
        <w:t xml:space="preserve">Electrode Characterisation </w:t>
      </w:r>
      <w:r>
        <w:rPr>
          <w:rFonts w:eastAsia="DengXian Light"/>
          <w:b/>
          <w:bCs/>
        </w:rPr>
        <w:t>m</w:t>
      </w:r>
      <w:r w:rsidRPr="00214209">
        <w:rPr>
          <w:rFonts w:eastAsia="DengXian Light"/>
          <w:b/>
          <w:bCs/>
        </w:rPr>
        <w:t>ethods</w:t>
      </w:r>
    </w:p>
    <w:p w14:paraId="14A06564" w14:textId="77777777" w:rsidR="004A10A6" w:rsidRPr="00243E09" w:rsidRDefault="004A10A6" w:rsidP="004A10A6">
      <w:pPr>
        <w:spacing w:after="0" w:line="360" w:lineRule="auto"/>
        <w:jc w:val="both"/>
        <w:rPr>
          <w:rFonts w:ascii="Calibri" w:eastAsia="DengXian" w:hAnsi="Calibri" w:cs="Calibri"/>
          <w:sz w:val="24"/>
          <w:szCs w:val="24"/>
        </w:rPr>
      </w:pPr>
      <w:r w:rsidRPr="00243E09">
        <w:rPr>
          <w:rFonts w:ascii="Calibri" w:eastAsia="DengXian" w:hAnsi="Calibri" w:cs="Calibri"/>
          <w:sz w:val="24"/>
          <w:szCs w:val="24"/>
        </w:rPr>
        <w:t xml:space="preserve">X-ray photoelectron spectroscopy (XPS) was performed using a </w:t>
      </w:r>
      <w:proofErr w:type="spellStart"/>
      <w:r w:rsidRPr="00243E09">
        <w:rPr>
          <w:rFonts w:ascii="Calibri" w:eastAsia="DengXian" w:hAnsi="Calibri" w:cs="Calibri"/>
          <w:sz w:val="24"/>
          <w:szCs w:val="24"/>
        </w:rPr>
        <w:t>Scienta</w:t>
      </w:r>
      <w:proofErr w:type="spellEnd"/>
      <w:r w:rsidRPr="00243E09">
        <w:rPr>
          <w:rFonts w:ascii="Calibri" w:eastAsia="DengXian" w:hAnsi="Calibri" w:cs="Calibri"/>
          <w:sz w:val="24"/>
          <w:szCs w:val="24"/>
        </w:rPr>
        <w:t xml:space="preserve"> 300 with SPECS </w:t>
      </w:r>
      <w:proofErr w:type="spellStart"/>
      <w:r w:rsidRPr="00243E09">
        <w:rPr>
          <w:rFonts w:ascii="Calibri" w:eastAsia="DengXian" w:hAnsi="Calibri" w:cs="Calibri"/>
          <w:sz w:val="24"/>
          <w:szCs w:val="24"/>
        </w:rPr>
        <w:t>monochromated</w:t>
      </w:r>
      <w:proofErr w:type="spellEnd"/>
      <w:r w:rsidRPr="00243E09">
        <w:rPr>
          <w:rFonts w:ascii="Calibri" w:eastAsia="DengXian" w:hAnsi="Calibri" w:cs="Calibri"/>
          <w:sz w:val="24"/>
          <w:szCs w:val="24"/>
        </w:rPr>
        <w:t xml:space="preserve"> X-Ray Source (</w:t>
      </w:r>
      <w:r w:rsidRPr="00243E09">
        <w:rPr>
          <w:rFonts w:ascii="Calibri" w:eastAsia="DengXian" w:hAnsi="Calibri" w:cs="Calibri"/>
          <w:sz w:val="24"/>
          <w:szCs w:val="24"/>
          <w:bdr w:val="none" w:sz="0" w:space="0" w:color="auto" w:frame="1"/>
        </w:rPr>
        <w:t xml:space="preserve">Al Kα source, photon energy 1486.6 eV operating at approximately 12 kV and 200 W) </w:t>
      </w:r>
      <w:r w:rsidRPr="00243E09">
        <w:rPr>
          <w:rFonts w:ascii="Calibri" w:eastAsia="DengXian" w:hAnsi="Calibri" w:cs="Calibri"/>
          <w:sz w:val="24"/>
          <w:szCs w:val="24"/>
        </w:rPr>
        <w:t xml:space="preserve">at St Andrews University. </w:t>
      </w:r>
      <w:r w:rsidRPr="00243E09">
        <w:rPr>
          <w:rFonts w:ascii="Calibri" w:eastAsia="DengXian" w:hAnsi="Calibri" w:cs="Calibri"/>
          <w:color w:val="000000"/>
          <w:sz w:val="24"/>
          <w:szCs w:val="24"/>
        </w:rPr>
        <w:t xml:space="preserve">Thin film X-ray diffraction (XRD) </w:t>
      </w:r>
      <w:r w:rsidRPr="00BA7963">
        <w:rPr>
          <w:rFonts w:ascii="Calibri" w:eastAsia="DengXian" w:hAnsi="Calibri" w:cs="Calibri"/>
          <w:color w:val="000000"/>
          <w:sz w:val="24"/>
          <w:szCs w:val="24"/>
        </w:rPr>
        <w:t xml:space="preserve">analysis was performed using </w:t>
      </w:r>
      <w:r w:rsidRPr="00BA7963">
        <w:rPr>
          <w:rFonts w:ascii="Calibri" w:eastAsia="DengXian" w:hAnsi="Calibri" w:cs="Calibri"/>
          <w:color w:val="000000"/>
          <w:sz w:val="24"/>
          <w:szCs w:val="24"/>
          <w:shd w:val="clear" w:color="auto" w:fill="FFFFFF"/>
        </w:rPr>
        <w:t xml:space="preserve">Rigaku Mini Flex with Cu Kα radiation. The scanning diffraction angle 2θ range was collected from 5 to 90° at a scan </w:t>
      </w:r>
      <w:r w:rsidRPr="00BA7963">
        <w:rPr>
          <w:rFonts w:ascii="Calibri" w:eastAsia="DengXian" w:hAnsi="Calibri" w:cs="Calibri"/>
          <w:color w:val="000000"/>
          <w:sz w:val="24"/>
          <w:szCs w:val="24"/>
          <w:bdr w:val="none" w:sz="0" w:space="0" w:color="auto" w:frame="1"/>
          <w:shd w:val="clear" w:color="auto" w:fill="FFFFFF"/>
        </w:rPr>
        <w:t>speed of 5° per min</w:t>
      </w:r>
      <w:r w:rsidRPr="00BA7963">
        <w:rPr>
          <w:rFonts w:ascii="Calibri" w:eastAsia="DengXian" w:hAnsi="Calibri" w:cs="Calibri"/>
          <w:color w:val="000000"/>
          <w:sz w:val="24"/>
          <w:szCs w:val="24"/>
        </w:rPr>
        <w:t xml:space="preserve">. </w:t>
      </w:r>
      <w:r w:rsidRPr="00BA7963">
        <w:rPr>
          <w:rFonts w:ascii="Calibri" w:eastAsia="DengXian" w:hAnsi="Calibri" w:cs="Calibri"/>
          <w:sz w:val="24"/>
          <w:szCs w:val="24"/>
        </w:rPr>
        <w:t xml:space="preserve">Ellipsometry and </w:t>
      </w:r>
      <w:r w:rsidRPr="00BA7963">
        <w:rPr>
          <w:rFonts w:ascii="Calibri" w:eastAsia="DengXian" w:hAnsi="Calibri" w:cs="Calibri"/>
          <w:sz w:val="24"/>
          <w:szCs w:val="24"/>
        </w:rPr>
        <w:lastRenderedPageBreak/>
        <w:t xml:space="preserve">atomic force microscopy were performed to evaluate the thickness and roughness/smoothness of the native oxides, respectively. Ellipsometry was performed using a variable-angle ellipsometer (M-2000XI Ellipsometer, J. A. </w:t>
      </w:r>
      <w:proofErr w:type="spellStart"/>
      <w:r w:rsidRPr="00BA7963">
        <w:rPr>
          <w:rFonts w:ascii="Calibri" w:eastAsia="DengXian" w:hAnsi="Calibri" w:cs="Calibri"/>
          <w:sz w:val="24"/>
          <w:szCs w:val="24"/>
        </w:rPr>
        <w:t>Woollam</w:t>
      </w:r>
      <w:proofErr w:type="spellEnd"/>
      <w:r w:rsidRPr="00BA7963">
        <w:rPr>
          <w:rFonts w:ascii="Calibri" w:eastAsia="DengXian" w:hAnsi="Calibri" w:cs="Calibri"/>
          <w:sz w:val="24"/>
          <w:szCs w:val="24"/>
        </w:rPr>
        <w:t xml:space="preserve">) to measure the amplitude and phase changes in the wavelength range 210-1690 nm at different angles of incidence, while </w:t>
      </w:r>
      <w:r w:rsidRPr="00BA7963">
        <w:rPr>
          <w:rFonts w:ascii="Calibri" w:eastAsia="DengXian" w:hAnsi="Calibri" w:cs="Calibri"/>
          <w:iCs/>
          <w:sz w:val="24"/>
          <w:szCs w:val="24"/>
        </w:rPr>
        <w:t xml:space="preserve">atomic force microscopy (AFM) was performed using a Dimension Icon Atomic Force Microscope System with </w:t>
      </w:r>
      <w:proofErr w:type="spellStart"/>
      <w:r w:rsidRPr="00BA7963">
        <w:rPr>
          <w:rFonts w:ascii="Calibri" w:eastAsia="DengXian" w:hAnsi="Calibri" w:cs="Calibri"/>
          <w:iCs/>
          <w:sz w:val="24"/>
          <w:szCs w:val="24"/>
        </w:rPr>
        <w:t>ScanAsyst</w:t>
      </w:r>
      <w:proofErr w:type="spellEnd"/>
      <w:r w:rsidRPr="00BA7963">
        <w:rPr>
          <w:rFonts w:ascii="Calibri" w:eastAsia="DengXian" w:hAnsi="Calibri" w:cs="Calibri"/>
          <w:iCs/>
          <w:sz w:val="24"/>
          <w:szCs w:val="24"/>
        </w:rPr>
        <w:t xml:space="preserve"> using a silicon tip (</w:t>
      </w:r>
      <w:proofErr w:type="spellStart"/>
      <w:r w:rsidRPr="00BA7963">
        <w:rPr>
          <w:rFonts w:ascii="Calibri" w:eastAsia="DengXian" w:hAnsi="Calibri" w:cs="Calibri"/>
          <w:iCs/>
          <w:sz w:val="24"/>
          <w:szCs w:val="24"/>
        </w:rPr>
        <w:t>ScanAsyst</w:t>
      </w:r>
      <w:proofErr w:type="spellEnd"/>
      <w:r w:rsidRPr="00BA7963">
        <w:rPr>
          <w:rFonts w:ascii="Calibri" w:eastAsia="DengXian" w:hAnsi="Calibri" w:cs="Calibri"/>
          <w:iCs/>
          <w:sz w:val="24"/>
          <w:szCs w:val="24"/>
        </w:rPr>
        <w:t xml:space="preserve">-Air-HPI) and peak force tapping. A scan size of 10 </w:t>
      </w:r>
      <w:r w:rsidRPr="00BA7963">
        <w:rPr>
          <w:rFonts w:ascii="Calibri" w:eastAsia="DengXian" w:hAnsi="Calibri" w:cs="Calibri"/>
          <w:sz w:val="24"/>
          <w:szCs w:val="24"/>
        </w:rPr>
        <w:t>mm,</w:t>
      </w:r>
      <w:r w:rsidRPr="00BA7963">
        <w:rPr>
          <w:rFonts w:ascii="Calibri" w:eastAsia="DengXian" w:hAnsi="Calibri" w:cs="Calibri"/>
          <w:iCs/>
          <w:sz w:val="24"/>
          <w:szCs w:val="24"/>
        </w:rPr>
        <w:t xml:space="preserve"> a scan rate of 0.3 Hz and 512 samples/line were used for all the measurements. The surface roughness was obtained using </w:t>
      </w:r>
      <w:proofErr w:type="spellStart"/>
      <w:r w:rsidRPr="00BA7963">
        <w:rPr>
          <w:rFonts w:ascii="Calibri" w:eastAsia="DengXian" w:hAnsi="Calibri" w:cs="Calibri"/>
          <w:iCs/>
          <w:sz w:val="24"/>
          <w:szCs w:val="24"/>
        </w:rPr>
        <w:t>Gwyddion</w:t>
      </w:r>
      <w:proofErr w:type="spellEnd"/>
      <w:r w:rsidRPr="00BA7963">
        <w:rPr>
          <w:rFonts w:ascii="Calibri" w:eastAsia="DengXian" w:hAnsi="Calibri" w:cs="Calibri"/>
          <w:iCs/>
          <w:sz w:val="24"/>
          <w:szCs w:val="24"/>
        </w:rPr>
        <w:t xml:space="preserve"> software. The electrochemical active surface area (ECSA) was determined through the cyclic voltammetry technique.</w:t>
      </w:r>
      <w:r w:rsidRPr="00BA7963">
        <w:rPr>
          <w:rFonts w:ascii="Calibri" w:eastAsia="DengXian" w:hAnsi="Calibri" w:cs="Calibri"/>
          <w:iCs/>
          <w:sz w:val="24"/>
          <w:szCs w:val="24"/>
        </w:rPr>
        <w:fldChar w:fldCharType="begin" w:fldLock="1"/>
      </w:r>
      <w:r w:rsidRPr="00BA7963">
        <w:rPr>
          <w:rFonts w:ascii="Calibri" w:eastAsia="DengXian" w:hAnsi="Calibri" w:cs="Calibri"/>
          <w:iCs/>
          <w:sz w:val="24"/>
          <w:szCs w:val="24"/>
        </w:rPr>
        <w:instrText xml:space="preserve">ADDIN CSL_CITATION {"citationItems":[{"id":"ITEM-1","itemData":{"DOI":"10.1021/ja407115p","ISSN":"00027863","PMID":"24171402","abstract":"Objective evaluation of the activity of electrocatalysts for water oxidation is of fundamental importance for the development of promising energy conversion technologies including integrated solar water-splitting devices, water electrolyzers, and Li-air batteries. However, current methods employed to evaluate oxygen-evolving catalysts are not standardized, making it difficult to compare the activity and stability of these materials. We report a protocol for evaluating the activity, stability, and Faradaic efficiency of electrodeposited oxygen-evolving electrocatalysts. In particular, we focus on methods for determining electrochemically active surface area and measuring electrocatalytic activity and stability under conditions relevant to an integrated solar water-splitting device. Our primary figure of merit is the overpotential required to achieve a current density of 10 mA cm-2 per geometric area, approximately the current density expected for a 10% efficient solar-to-fuels conversion device. Utilizing the aforementioned surface area measurements, one can determine electrocatalyst turnover frequencies. The reported protocol was used to examine the oxygen-evolution activity of the following systems in acidic and alkaline solutions: CoOx, CoPi, CoFeOx, NiOx, NiCeOx, NiCoOx, NiCuOx, NiFeOx, and NiLaOx. The oxygen-evolving activity of an electrodeposited IrOx catalyst was also investigated for comparison. Two general observations are made from comparing the catalytic performance of the OER catalysts investigated: (1) in alkaline solution, every non-noble metal system achieved 10 mA cm-2 current densities at similar operating overpotentials between 0.35 and 0.43 V, and (2) every system but IrOx was unstable under oxidative conditions in acidic solutions. © 2013 American Chemical Society.","author":[{"dropping-particle":"","family":"McCrory","given":"Charles C.L.","non-dropping-particle":"","parse-names":false,"suffix":""},{"dropping-particle":"","family":"Jung","given":"Suho","non-dropping-particle":"","parse-names":false,"suffix":""},{"dropping-particle":"","family":"Peters","given":"Jonas C.","non-dropping-particle":"","parse-names":false,"suffix":""},{"dropping-particle":"","family":"Jaramillo","given":"Thomas F.","non-dropping-particle":"","parse-names":false,"suffix":""}],"container-title":"Journal of the American Chemical Society","id":"ITEM-1","issue":"45","issued":{"date-parts":[["2013"]]},"page":"16977-16987","title":"Benchmarking heterogeneous electrocatalysts for the oxygen evolution reaction","type":"article-journal","volume":"135"},"uris":["http://www.mendeley.com/documents/?uuid=fcf5e793-a96e-41e3-92f6-aaa74fe7a56a"]},{"id":"ITEM-2","itemData":{"DOI":"10.1021/ja510442p","ISSN":"15205126","PMID":"25668483","abstract":"Objective comparisons of electrocatalyst activity and stability using standard methods under identical conditions are necessary to evaluate the viability of existing electrocatalysts for integration into solar-fuel devices as well as to help inform the development of new catalytic systems. Herein, we use a standard protocol as a primary screen for evaluating the activity, short-term (2 h) stability, and electrochemically active surface area (ECSA) of 18 electrocatalysts for the hydrogen evolution reaction (HER) and 26 electrocatalysts for the oxygen evolution reaction (OER) under conditions relevant to an integrated solar water-splitting device in aqueous acidic or alkaline solution. Our primary figure of merit is the overpotential necessary to achieve a magnitude current density of 10 mA cm&lt;sup&gt;-2&lt;/sup&gt; per geometric area, the approximate current density expected for a 10% efficient solar-to-fuels conversion device under 1 sun illumination. The specific activity per ECSA of each material is also reported. Among HER catalysts, several could operate at 10 mA cm&lt;sup&gt;-2&lt;/sup&gt; with overpotentials &lt;0.1 V in acidic and/or alkaline solutions. Among OER catalysts in acidic solution, no non-noble metal based materials showed promising activity and stability, whereas in alkaline solution many OER catalysts performed with similar activity achieving 10 mA cm&lt;sup&gt;-2&lt;/sup&gt; current densities at overpotentials of </w:instrText>
      </w:r>
      <w:r w:rsidRPr="00BA7963">
        <w:rPr>
          <w:rFonts w:ascii="Cambria Math" w:eastAsia="DengXian" w:hAnsi="Cambria Math" w:cs="Cambria Math"/>
          <w:iCs/>
          <w:sz w:val="24"/>
          <w:szCs w:val="24"/>
        </w:rPr>
        <w:instrText>∼</w:instrText>
      </w:r>
      <w:r w:rsidRPr="00BA7963">
        <w:rPr>
          <w:rFonts w:ascii="Calibri" w:eastAsia="DengXian" w:hAnsi="Calibri" w:cs="Calibri"/>
          <w:iCs/>
          <w:sz w:val="24"/>
          <w:szCs w:val="24"/>
        </w:rPr>
        <w:instrText>0.33-0.5 V. Most OER catalysts showed comparable or better specific activity per ECSA when compared to Ir and Ru catalysts in alkaline solutions, while most HER catalysts showed much lower specific activity than Pt in both acidic and alkaline solutions. For select catalysts, additional secondary screening measurements were conducted including Faradaic efficiency and extended stability measurements. (Graph Presented)","author":[{"dropping-particle":"","family":"McCrory","given":"Charles C.L.","non-dropping-particle":"","parse-names":false,"suffix":""},{"dropping-particle":"","family":"Jung","given":"Suho","non-dropping-particle":"","parse-names":false,"suffix":""},{"dropping-particle":"","family":"Ferrer","given":"Ivonne M.","non-dropping-particle":"","parse-names":false,"suffix":""},{"dropping-particle":"","family":"Chatman","given":"Shawn M.","non-dropping-particle":"","parse-names":false,"suffix":""},{"dropping-particle":"","family":"Peters","given":"Jonas C.","non-dropping-particle":"","parse-names":false,"suffix":""},{"dropping-particle":"","family":"Jaramillo","given":"Thomas F.","non-dropping-particle":"","parse-names":false,"suffix":""}],"container-title":"Journal of the American Chemical Society","id":"ITEM-2","issue":"13","issued":{"date-parts":[["2015"]]},"page":"4347-4357","title":"Benchmarking Hydrogen Evolving Reaction and Oxygen Evolving Reaction Electrocatalysts for Solar Water Splitting Devices","type":"article-journal","volume":"137"},"uris":["http://www.mendeley.com/documents/?uuid=21fb34a7-5bba-4234-8551-5ecfb5866b99"]}],"mendeley":{"formattedCitation":"&lt;sup&gt;3,4&lt;/sup&gt;","plainTextFormattedCitation":"3,4","previouslyFormattedCitation":"&lt;sup&gt;1,2&lt;/sup&gt;"},"properties":{"noteIndex":0},"schema":"https://github.com/citation-style-language/schema/raw/master/csl-citation.json"}</w:instrText>
      </w:r>
      <w:r w:rsidRPr="00BA7963">
        <w:rPr>
          <w:rFonts w:ascii="Calibri" w:eastAsia="DengXian" w:hAnsi="Calibri" w:cs="Calibri"/>
          <w:iCs/>
          <w:sz w:val="24"/>
          <w:szCs w:val="24"/>
        </w:rPr>
        <w:fldChar w:fldCharType="separate"/>
      </w:r>
      <w:r w:rsidRPr="00BA7963">
        <w:rPr>
          <w:rFonts w:ascii="Calibri" w:eastAsia="DengXian" w:hAnsi="Calibri" w:cs="Calibri"/>
          <w:iCs/>
          <w:noProof/>
          <w:sz w:val="24"/>
          <w:szCs w:val="24"/>
          <w:vertAlign w:val="superscript"/>
        </w:rPr>
        <w:t>3,4</w:t>
      </w:r>
      <w:r w:rsidRPr="00BA7963">
        <w:rPr>
          <w:rFonts w:ascii="Calibri" w:eastAsia="DengXian" w:hAnsi="Calibri" w:cs="Calibri"/>
          <w:iCs/>
          <w:sz w:val="24"/>
          <w:szCs w:val="24"/>
        </w:rPr>
        <w:fldChar w:fldCharType="end"/>
      </w:r>
      <w:r w:rsidRPr="00BA7963">
        <w:rPr>
          <w:rFonts w:ascii="Calibri" w:eastAsia="DengXian" w:hAnsi="Calibri" w:cs="Calibri"/>
          <w:color w:val="000000"/>
          <w:sz w:val="24"/>
          <w:szCs w:val="24"/>
        </w:rPr>
        <w:t xml:space="preserve"> Electrochemical impedance spectroscopy (EIS) measurements were conducted using a Gamry </w:t>
      </w:r>
      <w:proofErr w:type="spellStart"/>
      <w:r w:rsidRPr="00BA7963">
        <w:rPr>
          <w:rFonts w:ascii="Calibri" w:eastAsia="DengXian" w:hAnsi="Calibri" w:cs="Calibri"/>
          <w:color w:val="000000"/>
          <w:sz w:val="24"/>
          <w:szCs w:val="24"/>
        </w:rPr>
        <w:t>potentiostat</w:t>
      </w:r>
      <w:proofErr w:type="spellEnd"/>
      <w:r w:rsidRPr="00BA7963">
        <w:rPr>
          <w:rFonts w:ascii="Calibri" w:eastAsia="DengXian" w:hAnsi="Calibri" w:cs="Calibri"/>
          <w:color w:val="000000"/>
          <w:sz w:val="24"/>
          <w:szCs w:val="24"/>
        </w:rPr>
        <w:t>/</w:t>
      </w:r>
      <w:proofErr w:type="spellStart"/>
      <w:r w:rsidRPr="00BA7963">
        <w:rPr>
          <w:rFonts w:ascii="Calibri" w:eastAsia="DengXian" w:hAnsi="Calibri" w:cs="Calibri"/>
          <w:color w:val="000000"/>
          <w:sz w:val="24"/>
          <w:szCs w:val="24"/>
        </w:rPr>
        <w:t>galvanostat</w:t>
      </w:r>
      <w:proofErr w:type="spellEnd"/>
      <w:r w:rsidRPr="00BA7963">
        <w:rPr>
          <w:rFonts w:ascii="Calibri" w:eastAsia="DengXian" w:hAnsi="Calibri" w:cs="Calibri"/>
          <w:color w:val="000000"/>
          <w:sz w:val="24"/>
          <w:szCs w:val="24"/>
        </w:rPr>
        <w:t xml:space="preserve"> (</w:t>
      </w:r>
      <w:r w:rsidRPr="00BA7963">
        <w:rPr>
          <w:rFonts w:ascii="Calibri" w:eastAsia="DengXian" w:hAnsi="Calibri" w:cs="Calibri"/>
          <w:sz w:val="24"/>
          <w:szCs w:val="24"/>
        </w:rPr>
        <w:t>Gamry Instruments Interface 1010E</w:t>
      </w:r>
      <w:r w:rsidRPr="00BA7963">
        <w:rPr>
          <w:rFonts w:ascii="Calibri" w:eastAsia="DengXian" w:hAnsi="Calibri" w:cs="Calibri"/>
          <w:color w:val="000000"/>
          <w:sz w:val="24"/>
          <w:szCs w:val="24"/>
        </w:rPr>
        <w:t>) using three electrode settings</w:t>
      </w:r>
      <w:r w:rsidRPr="00BA7963">
        <w:rPr>
          <w:rFonts w:ascii="Calibri" w:eastAsia="DengXian" w:hAnsi="Calibri" w:cs="Calibri"/>
          <w:sz w:val="24"/>
          <w:szCs w:val="24"/>
        </w:rPr>
        <w:t xml:space="preserve"> ranging from 1 × 10</w:t>
      </w:r>
      <w:r w:rsidRPr="00BA7963">
        <w:rPr>
          <w:rFonts w:ascii="Calibri" w:eastAsia="DengXian" w:hAnsi="Calibri" w:cs="Calibri"/>
          <w:sz w:val="24"/>
          <w:szCs w:val="24"/>
          <w:vertAlign w:val="superscript"/>
        </w:rPr>
        <w:t>5</w:t>
      </w:r>
      <w:r w:rsidRPr="00BA7963">
        <w:rPr>
          <w:rFonts w:ascii="Calibri" w:eastAsia="DengXian" w:hAnsi="Calibri" w:cs="Calibri"/>
          <w:sz w:val="24"/>
          <w:szCs w:val="24"/>
        </w:rPr>
        <w:t xml:space="preserve"> to 1 × 10</w:t>
      </w:r>
      <w:r w:rsidRPr="00BA7963">
        <w:rPr>
          <w:rFonts w:ascii="Calibri" w:eastAsia="DengXian" w:hAnsi="Calibri" w:cs="Calibri"/>
          <w:sz w:val="24"/>
          <w:szCs w:val="24"/>
          <w:vertAlign w:val="superscript"/>
        </w:rPr>
        <w:t>−1</w:t>
      </w:r>
      <w:r w:rsidRPr="00BA7963">
        <w:rPr>
          <w:rFonts w:ascii="Calibri" w:eastAsia="DengXian" w:hAnsi="Calibri" w:cs="Calibri"/>
          <w:sz w:val="24"/>
          <w:szCs w:val="24"/>
        </w:rPr>
        <w:t xml:space="preserve"> Hz</w:t>
      </w:r>
      <w:r w:rsidRPr="00BA7963">
        <w:rPr>
          <w:rFonts w:ascii="Calibri" w:eastAsia="DengXian" w:hAnsi="Calibri" w:cs="Calibri"/>
          <w:color w:val="000000"/>
          <w:sz w:val="24"/>
          <w:szCs w:val="24"/>
          <w:lang w:val="tr-TR"/>
        </w:rPr>
        <w:t xml:space="preserve">. </w:t>
      </w:r>
      <w:r w:rsidRPr="00BA7963">
        <w:rPr>
          <w:rFonts w:ascii="Calibri" w:eastAsia="DengXian" w:hAnsi="Calibri" w:cs="Calibri"/>
          <w:sz w:val="24"/>
          <w:szCs w:val="24"/>
        </w:rPr>
        <w:t xml:space="preserve">A constant polarisation potential (−0.6 V </w:t>
      </w:r>
      <w:r w:rsidRPr="00BA7963">
        <w:rPr>
          <w:rFonts w:ascii="Calibri" w:eastAsia="DengXian" w:hAnsi="Calibri" w:cs="Calibri"/>
          <w:i/>
          <w:iCs/>
          <w:sz w:val="24"/>
          <w:szCs w:val="24"/>
        </w:rPr>
        <w:t>vs</w:t>
      </w:r>
      <w:r w:rsidRPr="00BA7963">
        <w:rPr>
          <w:rFonts w:ascii="Calibri" w:eastAsia="DengXian" w:hAnsi="Calibri" w:cs="Calibri"/>
          <w:sz w:val="24"/>
          <w:szCs w:val="24"/>
        </w:rPr>
        <w:t xml:space="preserve"> RHE) was applied during EIS measurements. The equivalent circuit model parameters were determined using Gamry </w:t>
      </w:r>
      <w:proofErr w:type="spellStart"/>
      <w:r w:rsidRPr="00BA7963">
        <w:rPr>
          <w:rFonts w:ascii="Calibri" w:eastAsia="DengXian" w:hAnsi="Calibri" w:cs="Calibri"/>
          <w:sz w:val="24"/>
          <w:szCs w:val="24"/>
        </w:rPr>
        <w:t>Echem</w:t>
      </w:r>
      <w:proofErr w:type="spellEnd"/>
      <w:r w:rsidRPr="00BA7963">
        <w:rPr>
          <w:rFonts w:ascii="Calibri" w:eastAsia="DengXian" w:hAnsi="Calibri" w:cs="Calibri"/>
          <w:sz w:val="24"/>
          <w:szCs w:val="24"/>
        </w:rPr>
        <w:t xml:space="preserve"> Analyst software.</w:t>
      </w:r>
    </w:p>
    <w:p w14:paraId="2D483C00" w14:textId="77777777" w:rsidR="004A10A6" w:rsidRPr="007B26F4" w:rsidRDefault="004A10A6">
      <w:pPr>
        <w:rPr>
          <w:rFonts w:ascii="Calibri" w:hAnsi="Calibri" w:cs="Calibri"/>
        </w:rPr>
      </w:pPr>
    </w:p>
    <w:p w14:paraId="4D41771B" w14:textId="77777777" w:rsidR="00970380" w:rsidRDefault="00970380" w:rsidP="001C0F17">
      <w:pPr>
        <w:rPr>
          <w:rFonts w:eastAsia="DengXian"/>
          <w:b/>
          <w:bCs/>
        </w:rPr>
      </w:pPr>
    </w:p>
    <w:p w14:paraId="431549CC" w14:textId="5EB12767" w:rsidR="00992A79" w:rsidRPr="001C0F17" w:rsidRDefault="00992A79" w:rsidP="001C0F17">
      <w:pPr>
        <w:rPr>
          <w:rFonts w:eastAsia="DengXian"/>
          <w:b/>
          <w:bCs/>
        </w:rPr>
      </w:pPr>
      <w:r w:rsidRPr="001C0F17">
        <w:rPr>
          <w:rFonts w:eastAsia="DengXian"/>
          <w:b/>
          <w:bCs/>
        </w:rPr>
        <w:t>HPLC Analysis</w:t>
      </w:r>
    </w:p>
    <w:p w14:paraId="2E3F75D8" w14:textId="22B9421E" w:rsidR="00992A79" w:rsidRPr="00B16A7A" w:rsidRDefault="00992A79" w:rsidP="00992A79">
      <w:pPr>
        <w:spacing w:after="200" w:line="360" w:lineRule="auto"/>
        <w:jc w:val="both"/>
        <w:rPr>
          <w:rFonts w:ascii="Calibri" w:eastAsia="DengXian" w:hAnsi="Calibri" w:cs="Calibri"/>
          <w:bCs/>
          <w:sz w:val="24"/>
          <w:szCs w:val="24"/>
        </w:rPr>
      </w:pPr>
      <w:r w:rsidRPr="00B16A7A">
        <w:rPr>
          <w:rFonts w:ascii="Calibri" w:eastAsia="DengXian" w:hAnsi="Calibri" w:cs="Calibri"/>
          <w:bCs/>
          <w:sz w:val="24"/>
          <w:szCs w:val="24"/>
        </w:rPr>
        <w:t xml:space="preserve">The liquid products were analysed by Agilent high-performance liquid chromatography (HPLC) using an </w:t>
      </w:r>
      <w:proofErr w:type="spellStart"/>
      <w:r w:rsidRPr="00B16A7A">
        <w:rPr>
          <w:rFonts w:ascii="Calibri" w:eastAsia="DengXian" w:hAnsi="Calibri" w:cs="Calibri"/>
          <w:bCs/>
          <w:sz w:val="24"/>
          <w:szCs w:val="24"/>
        </w:rPr>
        <w:t>Aminex</w:t>
      </w:r>
      <w:proofErr w:type="spellEnd"/>
      <w:r w:rsidRPr="00B16A7A">
        <w:rPr>
          <w:rFonts w:ascii="Calibri" w:eastAsia="DengXian" w:hAnsi="Calibri" w:cs="Calibri"/>
          <w:bCs/>
          <w:sz w:val="24"/>
          <w:szCs w:val="24"/>
        </w:rPr>
        <w:t xml:space="preserve"> HPX-87H, 300 mm × 7.8 mm column. The mobile phase used was 0.1% formic acid in acetonitrile (HPLC grade) and 0.1% formic acid in water in a ratio of 30:70, respectively. The HPLC machine was set at a flow rate of 0.6 mL/min, at a temperature of 60 °C, and a detector wavelength of 210 - 230 nm was used.</w:t>
      </w:r>
      <w:r w:rsidRPr="007B26F4">
        <w:rPr>
          <w:rFonts w:ascii="Calibri" w:eastAsia="DengXian" w:hAnsi="Calibri" w:cs="Calibri"/>
          <w:bCs/>
          <w:sz w:val="24"/>
          <w:szCs w:val="24"/>
        </w:rPr>
        <w:t xml:space="preserve"> The chromatogram and the retention time for the respective products are represented in Figure S2.</w:t>
      </w:r>
    </w:p>
    <w:p w14:paraId="23D8B06B" w14:textId="77777777" w:rsidR="00B16A7A" w:rsidRPr="007B26F4" w:rsidRDefault="00B16A7A" w:rsidP="00296FD0">
      <w:pPr>
        <w:rPr>
          <w:rFonts w:ascii="Calibri" w:hAnsi="Calibri" w:cs="Calibri"/>
        </w:rPr>
      </w:pPr>
    </w:p>
    <w:p w14:paraId="42BB017B" w14:textId="1B34A094" w:rsidR="00B16A7A" w:rsidRPr="007B26F4" w:rsidRDefault="00B16A7A" w:rsidP="00296FD0">
      <w:pPr>
        <w:rPr>
          <w:rFonts w:ascii="Calibri" w:hAnsi="Calibri" w:cs="Calibri"/>
          <w:lang w:val="en-US"/>
        </w:rPr>
      </w:pPr>
      <w:r w:rsidRPr="007B26F4">
        <w:rPr>
          <w:rFonts w:ascii="Calibri" w:eastAsia="DengXian" w:hAnsi="Calibri" w:cs="Calibri"/>
          <w:noProof/>
        </w:rPr>
        <w:drawing>
          <wp:inline distT="0" distB="0" distL="0" distR="0" wp14:anchorId="4D011FE3" wp14:editId="2C3A2D97">
            <wp:extent cx="5492878" cy="1512000"/>
            <wp:effectExtent l="0" t="0" r="0" b="0"/>
            <wp:docPr id="1912535279"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35279" name="Picture 1" descr="A graph of a graph&#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2878" cy="1512000"/>
                    </a:xfrm>
                    <a:prstGeom prst="rect">
                      <a:avLst/>
                    </a:prstGeom>
                    <a:noFill/>
                    <a:ln>
                      <a:noFill/>
                    </a:ln>
                  </pic:spPr>
                </pic:pic>
              </a:graphicData>
            </a:graphic>
          </wp:inline>
        </w:drawing>
      </w:r>
    </w:p>
    <w:p w14:paraId="5AB195F5" w14:textId="77777777" w:rsidR="0027514F" w:rsidRDefault="00B16A7A" w:rsidP="0027514F">
      <w:pPr>
        <w:spacing w:after="200" w:line="276" w:lineRule="auto"/>
        <w:rPr>
          <w:rFonts w:ascii="Calibri" w:eastAsia="DengXian" w:hAnsi="Calibri" w:cs="Calibri"/>
          <w:sz w:val="24"/>
          <w:szCs w:val="24"/>
        </w:rPr>
      </w:pPr>
      <w:r w:rsidRPr="00B16A7A">
        <w:rPr>
          <w:rFonts w:ascii="Calibri" w:eastAsia="DengXian" w:hAnsi="Calibri" w:cs="Calibri"/>
          <w:b/>
          <w:bCs/>
          <w:sz w:val="24"/>
          <w:szCs w:val="24"/>
        </w:rPr>
        <w:lastRenderedPageBreak/>
        <w:t>Figure S</w:t>
      </w:r>
      <w:r w:rsidRPr="00B16A7A">
        <w:rPr>
          <w:rFonts w:ascii="Calibri" w:eastAsia="DengXian" w:hAnsi="Calibri" w:cs="Calibri"/>
          <w:b/>
          <w:bCs/>
          <w:sz w:val="24"/>
          <w:szCs w:val="24"/>
        </w:rPr>
        <w:fldChar w:fldCharType="begin"/>
      </w:r>
      <w:r w:rsidRPr="00B16A7A">
        <w:rPr>
          <w:rFonts w:ascii="Calibri" w:eastAsia="DengXian" w:hAnsi="Calibri" w:cs="Calibri"/>
          <w:b/>
          <w:bCs/>
          <w:sz w:val="24"/>
          <w:szCs w:val="24"/>
        </w:rPr>
        <w:instrText xml:space="preserve"> SEQ Figure \* ARABIC </w:instrText>
      </w:r>
      <w:r w:rsidRPr="00B16A7A">
        <w:rPr>
          <w:rFonts w:ascii="Calibri" w:eastAsia="DengXian" w:hAnsi="Calibri" w:cs="Calibri"/>
          <w:b/>
          <w:bCs/>
          <w:sz w:val="24"/>
          <w:szCs w:val="24"/>
        </w:rPr>
        <w:fldChar w:fldCharType="separate"/>
      </w:r>
      <w:r w:rsidRPr="007B26F4">
        <w:rPr>
          <w:rFonts w:ascii="Calibri" w:eastAsia="DengXian" w:hAnsi="Calibri" w:cs="Calibri"/>
          <w:b/>
          <w:bCs/>
          <w:noProof/>
          <w:sz w:val="24"/>
          <w:szCs w:val="24"/>
        </w:rPr>
        <w:t>2</w:t>
      </w:r>
      <w:r w:rsidRPr="00B16A7A">
        <w:rPr>
          <w:rFonts w:ascii="Calibri" w:eastAsia="DengXian" w:hAnsi="Calibri" w:cs="Calibri"/>
          <w:b/>
          <w:bCs/>
          <w:sz w:val="24"/>
          <w:szCs w:val="24"/>
        </w:rPr>
        <w:fldChar w:fldCharType="end"/>
      </w:r>
      <w:r w:rsidRPr="00B16A7A">
        <w:rPr>
          <w:rFonts w:ascii="Calibri" w:eastAsia="DengXian" w:hAnsi="Calibri" w:cs="Calibri"/>
          <w:b/>
          <w:bCs/>
          <w:sz w:val="24"/>
          <w:szCs w:val="24"/>
        </w:rPr>
        <w:t>:</w:t>
      </w:r>
      <w:r w:rsidRPr="00B16A7A">
        <w:rPr>
          <w:rFonts w:ascii="Calibri" w:eastAsia="DengXian" w:hAnsi="Calibri" w:cs="Calibri"/>
          <w:sz w:val="18"/>
          <w:szCs w:val="18"/>
        </w:rPr>
        <w:t xml:space="preserve"> </w:t>
      </w:r>
      <w:r w:rsidRPr="00B16A7A">
        <w:rPr>
          <w:rFonts w:ascii="Calibri" w:eastAsia="DengXian" w:hAnsi="Calibri" w:cs="Calibri"/>
          <w:sz w:val="24"/>
          <w:szCs w:val="24"/>
        </w:rPr>
        <w:t>HPLC chromatogram for electrochemical reduction of oxalic acid to glyoxylic acid and glycolic acid at an applied potential of −0.6 V vs RHE at 25 °C.</w:t>
      </w:r>
    </w:p>
    <w:p w14:paraId="684E8A8C" w14:textId="77777777" w:rsidR="004A10A6" w:rsidRDefault="004A10A6">
      <w:pPr>
        <w:rPr>
          <w:rFonts w:ascii="Calibri" w:eastAsia="DengXian" w:hAnsi="Calibri" w:cs="Calibri"/>
          <w:b/>
          <w:sz w:val="24"/>
          <w:szCs w:val="24"/>
        </w:rPr>
      </w:pPr>
      <w:r>
        <w:rPr>
          <w:rFonts w:ascii="Calibri" w:eastAsia="DengXian" w:hAnsi="Calibri" w:cs="Calibri"/>
          <w:b/>
          <w:sz w:val="24"/>
          <w:szCs w:val="24"/>
        </w:rPr>
        <w:br w:type="page"/>
      </w:r>
    </w:p>
    <w:p w14:paraId="502702F4" w14:textId="406B1D44" w:rsidR="0003209D" w:rsidRPr="0003209D" w:rsidRDefault="0003209D" w:rsidP="0003209D">
      <w:pPr>
        <w:spacing w:after="200" w:line="240" w:lineRule="auto"/>
        <w:jc w:val="both"/>
        <w:rPr>
          <w:rFonts w:ascii="Calibri" w:eastAsia="DengXian" w:hAnsi="Calibri" w:cs="Calibri"/>
          <w:b/>
          <w:sz w:val="24"/>
          <w:szCs w:val="24"/>
        </w:rPr>
      </w:pPr>
      <w:r w:rsidRPr="0003209D">
        <w:rPr>
          <w:rFonts w:ascii="Calibri" w:eastAsia="DengXian" w:hAnsi="Calibri" w:cs="Calibri"/>
          <w:b/>
          <w:sz w:val="24"/>
          <w:szCs w:val="24"/>
        </w:rPr>
        <w:lastRenderedPageBreak/>
        <w:t>Faradaic efficiencies</w:t>
      </w:r>
    </w:p>
    <w:p w14:paraId="2A1A7E78" w14:textId="276E5E5E" w:rsidR="005F0247" w:rsidRPr="005F0247" w:rsidRDefault="005F0247" w:rsidP="0090186C">
      <w:pPr>
        <w:spacing w:after="200" w:line="360" w:lineRule="auto"/>
        <w:jc w:val="both"/>
        <w:rPr>
          <w:rFonts w:ascii="Calibri" w:eastAsia="DengXian" w:hAnsi="Calibri" w:cs="Calibri"/>
          <w:sz w:val="24"/>
          <w:szCs w:val="24"/>
        </w:rPr>
      </w:pPr>
      <w:r w:rsidRPr="005F0247">
        <w:rPr>
          <w:rFonts w:ascii="Calibri" w:eastAsia="DengXian" w:hAnsi="Calibri" w:cs="Calibri"/>
          <w:bCs/>
          <w:sz w:val="24"/>
          <w:szCs w:val="24"/>
        </w:rPr>
        <w:t>Based on the molar concentration of the oxalic acid used as the starting material for the reduction process, the following equations (S1 - S4)</w:t>
      </w:r>
      <w:r w:rsidRPr="005F0247">
        <w:rPr>
          <w:rFonts w:ascii="Calibri" w:eastAsia="DengXian" w:hAnsi="Calibri" w:cs="Calibri"/>
          <w:sz w:val="24"/>
          <w:szCs w:val="24"/>
        </w:rPr>
        <w:fldChar w:fldCharType="begin" w:fldLock="1"/>
      </w:r>
      <w:r w:rsidR="00504AA0" w:rsidRPr="007B26F4">
        <w:rPr>
          <w:rFonts w:ascii="Calibri" w:eastAsia="DengXian" w:hAnsi="Calibri" w:cs="Calibri"/>
          <w:sz w:val="24"/>
          <w:szCs w:val="24"/>
        </w:rPr>
        <w:instrText>ADDIN CSL_CITATION {"citationItems":[{"id":"ITEM-1","itemData":{"DOI":"10.1016/j.jechem.2021.12.034","ISSN":"20954956","abstract":"Electrodes prepared by anodic oxidation of Ti foils are robust and not toxic materials for the electrocatalytic reduction of oxalic acid to glycolic acid, allowing the development of a renewable energy-driven process for producing an alcoholic compound from an organic acid at low potential and room temperature. Coupled with the electrochemical synthesis of the oxalic acid from CO2, this process represents a new green and low-carbon path to produce added value chemicals from CO2. Various electrodes prepared by anodic oxidation of Ti foils were investigated. They were characterized by the presence of a TiO2 nanotube array together with the presence of small patches, debris, or TiO2 nanoparticles. The concentration of oxygen vacancies, the amount of Ti3+ measured by X-ray photoelectron spectroscopy (XPS) and the intensity of the anodic peak measured by cyclic voltammetry, were positively correlated with the achieved oxalic acid conversion and glycolic acid yield. The analysis of the results indicates the presence of small amorphous TiO2 nanoparticles (or surface patches or debris) interacting with TiO2 nanotubes, the sites responsible for the conversion of oxalic acid and glycolic acid yield. By varying this structural characteristic of the electrodes, it is possible to tune the glycolic acid to glyoxylic acid relative ratio. A best cumulative Faradaic efficiency (FE) of about 84% with FE to glycolic acid around 60% and oxalic conversion about 30% was observed.","author":[{"dropping-particle":"","family":"Abramo","given":"Francesco Pio","non-dropping-particle":"","parse-names":false,"suffix":""},{"dropping-particle":"","family":"Luca","given":"Federica","non-dropping-particle":"De","parse-names":false,"suffix":""},{"dropping-particle":"","family":"Passalacqua","given":"Rosalba","non-dropping-particle":"","parse-names":false,"suffix":""},{"dropping-particle":"","family":"Centi","given":"Gabriele","non-dropping-particle":"","parse-names":false,"suffix":""},{"dropping-particle":"","family":"Giorgianni","given":"Gianfranco","non-dropping-particle":"","parse-names":false,"suffix":""},{"dropping-particle":"","family":"Perathoner","given":"Siglinda","non-dropping-particle":"","parse-names":false,"suffix":""},{"dropping-particle":"","family":"Abate","given":"Salvatore","non-dropping-particle":"","parse-names":false,"suffix":""}],"container-title":"Journal of Energy Chemistry","id":"ITEM-1","issued":{"date-parts":[["2022"]]},"page":"669-678","publisher":"Science Press and Dalian Institute of Chemical Physics, Chinese Academy of Sciences","title":"Electrocatalytic production of glycolic acid via oxalic acid reduction on titania debris supported on a TiO2 nanotube array","type":"article-journal","volume":"68"},"uris":["http://www.mendeley.com/documents/?uuid=5f583a27-8e88-4105-917d-3e88951837fc"]}],"mendeley":{"formattedCitation":"&lt;sup&gt;1&lt;/sup&gt;","plainTextFormattedCitation":"1","previouslyFormattedCitation":"&lt;sup&gt;4&lt;/sup&gt;"},"properties":{"noteIndex":0},"schema":"https://github.com/citation-style-language/schema/raw/master/csl-citation.json"}</w:instrText>
      </w:r>
      <w:r w:rsidRPr="005F0247">
        <w:rPr>
          <w:rFonts w:ascii="Calibri" w:eastAsia="DengXian" w:hAnsi="Calibri" w:cs="Calibri"/>
          <w:sz w:val="24"/>
          <w:szCs w:val="24"/>
        </w:rPr>
        <w:fldChar w:fldCharType="separate"/>
      </w:r>
      <w:r w:rsidR="00504AA0" w:rsidRPr="007B26F4">
        <w:rPr>
          <w:rFonts w:ascii="Calibri" w:eastAsia="DengXian" w:hAnsi="Calibri" w:cs="Calibri"/>
          <w:noProof/>
          <w:sz w:val="24"/>
          <w:szCs w:val="24"/>
          <w:vertAlign w:val="superscript"/>
        </w:rPr>
        <w:t>1</w:t>
      </w:r>
      <w:r w:rsidRPr="005F0247">
        <w:rPr>
          <w:rFonts w:ascii="Calibri" w:eastAsia="DengXian" w:hAnsi="Calibri" w:cs="Calibri"/>
          <w:sz w:val="24"/>
          <w:szCs w:val="24"/>
        </w:rPr>
        <w:fldChar w:fldCharType="end"/>
      </w:r>
      <w:r w:rsidRPr="005F0247">
        <w:rPr>
          <w:rFonts w:ascii="Calibri" w:eastAsia="DengXian" w:hAnsi="Calibri" w:cs="Calibri"/>
          <w:sz w:val="24"/>
          <w:szCs w:val="24"/>
        </w:rPr>
        <w:t xml:space="preserve"> </w:t>
      </w:r>
      <w:r w:rsidRPr="005F0247">
        <w:rPr>
          <w:rFonts w:ascii="Calibri" w:eastAsia="DengXian" w:hAnsi="Calibri" w:cs="Calibri"/>
          <w:bCs/>
          <w:sz w:val="24"/>
          <w:szCs w:val="24"/>
        </w:rPr>
        <w:t xml:space="preserve">are used </w:t>
      </w:r>
      <w:r w:rsidR="0027514F" w:rsidRPr="007B26F4">
        <w:rPr>
          <w:rFonts w:ascii="Calibri" w:eastAsia="DengXian" w:hAnsi="Calibri" w:cs="Calibri"/>
          <w:bCs/>
          <w:sz w:val="24"/>
          <w:szCs w:val="24"/>
        </w:rPr>
        <w:t>to</w:t>
      </w:r>
      <w:r w:rsidRPr="005F0247">
        <w:rPr>
          <w:rFonts w:ascii="Calibri" w:eastAsia="DengXian" w:hAnsi="Calibri" w:cs="Calibri"/>
          <w:bCs/>
          <w:sz w:val="24"/>
          <w:szCs w:val="24"/>
        </w:rPr>
        <w:t xml:space="preserve"> evaluate the performance of the electrode (Ti/</w:t>
      </w:r>
      <w:proofErr w:type="spellStart"/>
      <w:r w:rsidRPr="005F0247">
        <w:rPr>
          <w:rFonts w:ascii="Calibri" w:eastAsia="DengXian" w:hAnsi="Calibri" w:cs="Calibri"/>
          <w:bCs/>
          <w:sz w:val="24"/>
          <w:szCs w:val="24"/>
        </w:rPr>
        <w:t>Ti</w:t>
      </w:r>
      <w:r w:rsidRPr="005F0247">
        <w:rPr>
          <w:rFonts w:ascii="Calibri" w:eastAsia="DengXian" w:hAnsi="Calibri" w:cs="Calibri"/>
          <w:bCs/>
          <w:sz w:val="24"/>
          <w:szCs w:val="24"/>
          <w:vertAlign w:val="subscript"/>
        </w:rPr>
        <w:t>x</w:t>
      </w:r>
      <w:r w:rsidRPr="005F0247">
        <w:rPr>
          <w:rFonts w:ascii="Calibri" w:eastAsia="DengXian" w:hAnsi="Calibri" w:cs="Calibri"/>
          <w:bCs/>
          <w:sz w:val="24"/>
          <w:szCs w:val="24"/>
        </w:rPr>
        <w:t>O</w:t>
      </w:r>
      <w:r w:rsidRPr="005F0247">
        <w:rPr>
          <w:rFonts w:ascii="Calibri" w:eastAsia="DengXian" w:hAnsi="Calibri" w:cs="Calibri"/>
          <w:bCs/>
          <w:sz w:val="24"/>
          <w:szCs w:val="24"/>
          <w:vertAlign w:val="subscript"/>
        </w:rPr>
        <w:t>y</w:t>
      </w:r>
      <w:proofErr w:type="spellEnd"/>
      <w:r w:rsidRPr="005F0247">
        <w:rPr>
          <w:rFonts w:ascii="Calibri" w:eastAsia="DengXian" w:hAnsi="Calibri" w:cs="Calibri"/>
          <w:bCs/>
          <w:sz w:val="24"/>
          <w:szCs w:val="24"/>
        </w:rPr>
        <w:t>) in reducing oxalic acid, and the results are presented in Table S1.</w:t>
      </w:r>
    </w:p>
    <w:p w14:paraId="55729151" w14:textId="77777777" w:rsidR="005F0247" w:rsidRPr="005F0247" w:rsidRDefault="005F0247" w:rsidP="0003209D">
      <w:pPr>
        <w:spacing w:line="240" w:lineRule="auto"/>
        <w:jc w:val="both"/>
        <w:rPr>
          <w:rFonts w:ascii="Calibri" w:eastAsia="DengXian" w:hAnsi="Calibri" w:cs="Calibri"/>
          <w:sz w:val="24"/>
          <w:szCs w:val="24"/>
        </w:rPr>
      </w:pPr>
      <m:oMathPara>
        <m:oMath>
          <m:r>
            <w:rPr>
              <w:rFonts w:ascii="Cambria Math" w:eastAsia="DengXian" w:hAnsi="Cambria Math" w:cs="Calibri"/>
              <w:sz w:val="24"/>
              <w:szCs w:val="24"/>
            </w:rPr>
            <m:t xml:space="preserve">FE </m:t>
          </m:r>
          <m:d>
            <m:dPr>
              <m:ctrlPr>
                <w:rPr>
                  <w:rFonts w:ascii="Cambria Math" w:eastAsia="DengXian" w:hAnsi="Cambria Math" w:cs="Calibri"/>
                  <w:i/>
                  <w:sz w:val="24"/>
                  <w:szCs w:val="24"/>
                </w:rPr>
              </m:ctrlPr>
            </m:dPr>
            <m:e>
              <m:r>
                <w:rPr>
                  <w:rFonts w:ascii="Cambria Math" w:eastAsia="DengXian" w:hAnsi="Cambria Math" w:cs="Calibri"/>
                  <w:sz w:val="24"/>
                  <w:szCs w:val="24"/>
                </w:rPr>
                <m:t>%</m:t>
              </m:r>
            </m:e>
          </m:d>
          <m:r>
            <w:rPr>
              <w:rFonts w:ascii="Cambria Math" w:eastAsia="DengXian" w:hAnsi="Cambria Math" w:cs="Calibri"/>
              <w:sz w:val="24"/>
              <w:szCs w:val="24"/>
            </w:rPr>
            <m:t>=</m:t>
          </m:r>
          <m:f>
            <m:fPr>
              <m:ctrlPr>
                <w:rPr>
                  <w:rFonts w:ascii="Cambria Math" w:eastAsia="DengXian" w:hAnsi="Cambria Math" w:cs="Calibri"/>
                  <w:i/>
                  <w:sz w:val="24"/>
                  <w:szCs w:val="24"/>
                </w:rPr>
              </m:ctrlPr>
            </m:fPr>
            <m:num>
              <m:sSub>
                <m:sSubPr>
                  <m:ctrlPr>
                    <w:rPr>
                      <w:rFonts w:ascii="Cambria Math" w:eastAsia="DengXian" w:hAnsi="Cambria Math" w:cs="Calibri"/>
                      <w:i/>
                      <w:sz w:val="24"/>
                      <w:szCs w:val="24"/>
                    </w:rPr>
                  </m:ctrlPr>
                </m:sSubPr>
                <m:e>
                  <m:r>
                    <w:rPr>
                      <w:rFonts w:ascii="Cambria Math" w:eastAsia="DengXian" w:hAnsi="Cambria Math" w:cs="Calibri"/>
                      <w:sz w:val="24"/>
                      <w:szCs w:val="24"/>
                    </w:rPr>
                    <m:t>m</m:t>
                  </m:r>
                </m:e>
                <m:sub>
                  <m:r>
                    <w:rPr>
                      <w:rFonts w:ascii="Cambria Math" w:eastAsia="DengXian" w:hAnsi="Cambria Math" w:cs="Calibri"/>
                      <w:sz w:val="24"/>
                      <w:szCs w:val="24"/>
                    </w:rPr>
                    <m:t>product</m:t>
                  </m:r>
                </m:sub>
              </m:sSub>
              <m:r>
                <w:rPr>
                  <w:rFonts w:ascii="Cambria Math" w:eastAsia="DengXian" w:hAnsi="Cambria Math" w:cs="Calibri"/>
                  <w:sz w:val="24"/>
                  <w:szCs w:val="24"/>
                </w:rPr>
                <m:t>×n ×F</m:t>
              </m:r>
            </m:num>
            <m:den>
              <m:r>
                <w:rPr>
                  <w:rFonts w:ascii="Cambria Math" w:eastAsia="DengXian" w:hAnsi="Cambria Math" w:cs="Calibri"/>
                  <w:sz w:val="24"/>
                  <w:szCs w:val="24"/>
                </w:rPr>
                <m:t>Q</m:t>
              </m:r>
            </m:den>
          </m:f>
          <m:r>
            <w:rPr>
              <w:rFonts w:ascii="Cambria Math" w:eastAsia="DengXian" w:hAnsi="Cambria Math" w:cs="Calibri"/>
              <w:sz w:val="24"/>
              <w:szCs w:val="24"/>
            </w:rPr>
            <m:t xml:space="preserve">×100            </m:t>
          </m:r>
          <m:r>
            <m:rPr>
              <m:sty m:val="p"/>
            </m:rPr>
            <w:rPr>
              <w:rFonts w:ascii="Cambria Math" w:eastAsia="DengXian" w:hAnsi="Cambria Math" w:cs="Calibri"/>
              <w:sz w:val="24"/>
              <w:szCs w:val="24"/>
            </w:rPr>
            <m:t>(Equation S1)</m:t>
          </m:r>
        </m:oMath>
      </m:oMathPara>
    </w:p>
    <w:p w14:paraId="273DBFF5" w14:textId="77777777" w:rsidR="005F0247" w:rsidRPr="005F0247" w:rsidRDefault="005F0247" w:rsidP="0003209D">
      <w:pPr>
        <w:spacing w:line="240" w:lineRule="auto"/>
        <w:jc w:val="both"/>
        <w:rPr>
          <w:rFonts w:ascii="Calibri" w:eastAsia="DengXian" w:hAnsi="Calibri" w:cs="Calibri"/>
          <w:bCs/>
          <w:sz w:val="24"/>
          <w:szCs w:val="24"/>
        </w:rPr>
      </w:pPr>
      <w:r w:rsidRPr="005F0247">
        <w:rPr>
          <w:rFonts w:ascii="Calibri" w:eastAsia="DengXian" w:hAnsi="Calibri" w:cs="Calibri"/>
          <w:bCs/>
          <w:sz w:val="24"/>
          <w:szCs w:val="24"/>
        </w:rPr>
        <w:t xml:space="preserve">Where </w:t>
      </w:r>
      <w:r w:rsidRPr="005F0247">
        <w:rPr>
          <w:rFonts w:ascii="Calibri" w:eastAsia="DengXian" w:hAnsi="Calibri" w:cs="Calibri"/>
          <w:bCs/>
          <w:i/>
          <w:iCs/>
          <w:sz w:val="24"/>
          <w:szCs w:val="24"/>
        </w:rPr>
        <w:t>FE</w:t>
      </w:r>
      <w:r w:rsidRPr="005F0247">
        <w:rPr>
          <w:rFonts w:ascii="Calibri" w:eastAsia="DengXian" w:hAnsi="Calibri" w:cs="Calibri"/>
          <w:bCs/>
          <w:sz w:val="24"/>
          <w:szCs w:val="24"/>
        </w:rPr>
        <w:t xml:space="preserve"> = Faradaic efficiency,  </w:t>
      </w:r>
      <m:oMath>
        <m:sSub>
          <m:sSubPr>
            <m:ctrlPr>
              <w:rPr>
                <w:rFonts w:ascii="Cambria Math" w:eastAsia="DengXian" w:hAnsi="Cambria Math" w:cs="Calibri"/>
                <w:bCs/>
                <w:sz w:val="24"/>
                <w:szCs w:val="24"/>
              </w:rPr>
            </m:ctrlPr>
          </m:sSubPr>
          <m:e>
            <m:r>
              <w:rPr>
                <w:rFonts w:ascii="Cambria Math" w:eastAsia="DengXian" w:hAnsi="Cambria Math" w:cs="Calibri"/>
                <w:sz w:val="24"/>
                <w:szCs w:val="24"/>
              </w:rPr>
              <m:t>m</m:t>
            </m:r>
          </m:e>
          <m:sub>
            <m:r>
              <w:rPr>
                <w:rFonts w:ascii="Cambria Math" w:eastAsia="DengXian" w:hAnsi="Cambria Math" w:cs="Calibri"/>
                <w:sz w:val="24"/>
                <w:szCs w:val="24"/>
              </w:rPr>
              <m:t>product</m:t>
            </m:r>
          </m:sub>
        </m:sSub>
      </m:oMath>
      <w:r w:rsidRPr="005F0247">
        <w:rPr>
          <w:rFonts w:ascii="Calibri" w:eastAsia="DengXian" w:hAnsi="Calibri" w:cs="Calibri"/>
          <w:bCs/>
          <w:sz w:val="24"/>
          <w:szCs w:val="24"/>
        </w:rPr>
        <w:t xml:space="preserve"> = moles of the reduction products, </w:t>
      </w:r>
      <w:r w:rsidRPr="005F0247">
        <w:rPr>
          <w:rFonts w:ascii="Calibri" w:eastAsia="DengXian" w:hAnsi="Calibri" w:cs="Calibri"/>
          <w:bCs/>
          <w:i/>
          <w:iCs/>
          <w:sz w:val="24"/>
          <w:szCs w:val="24"/>
        </w:rPr>
        <w:t>n</w:t>
      </w:r>
      <w:r w:rsidRPr="005F0247">
        <w:rPr>
          <w:rFonts w:ascii="Calibri" w:eastAsia="DengXian" w:hAnsi="Calibri" w:cs="Calibri"/>
          <w:bCs/>
          <w:sz w:val="24"/>
          <w:szCs w:val="24"/>
        </w:rPr>
        <w:t xml:space="preserve"> = number of electrons needed for the formation of the products from oxalic acid (n = 2 and 4 for the formation of glyoxylic and glycolic acid, respectively), </w:t>
      </w:r>
      <w:r w:rsidRPr="005F0247">
        <w:rPr>
          <w:rFonts w:ascii="Calibri" w:eastAsia="DengXian" w:hAnsi="Calibri" w:cs="Calibri"/>
          <w:bCs/>
          <w:i/>
          <w:iCs/>
          <w:sz w:val="24"/>
          <w:szCs w:val="24"/>
        </w:rPr>
        <w:t>F</w:t>
      </w:r>
      <w:r w:rsidRPr="005F0247">
        <w:rPr>
          <w:rFonts w:ascii="Calibri" w:eastAsia="DengXian" w:hAnsi="Calibri" w:cs="Calibri"/>
          <w:bCs/>
          <w:sz w:val="24"/>
          <w:szCs w:val="24"/>
        </w:rPr>
        <w:t xml:space="preserve"> = Faraday’s constant (96485 C mol</w:t>
      </w:r>
      <w:r w:rsidRPr="005F0247">
        <w:rPr>
          <w:rFonts w:ascii="Calibri" w:eastAsia="DengXian" w:hAnsi="Calibri" w:cs="Calibri"/>
          <w:bCs/>
          <w:sz w:val="24"/>
          <w:szCs w:val="24"/>
          <w:vertAlign w:val="superscript"/>
        </w:rPr>
        <w:t>−1</w:t>
      </w:r>
      <w:r w:rsidRPr="005F0247">
        <w:rPr>
          <w:rFonts w:ascii="Calibri" w:eastAsia="DengXian" w:hAnsi="Calibri" w:cs="Calibri"/>
          <w:bCs/>
          <w:sz w:val="24"/>
          <w:szCs w:val="24"/>
        </w:rPr>
        <w:t xml:space="preserve">) and </w:t>
      </w:r>
      <m:oMath>
        <m:r>
          <w:rPr>
            <w:rFonts w:ascii="Cambria Math" w:eastAsia="DengXian" w:hAnsi="Cambria Math" w:cs="Calibri"/>
            <w:sz w:val="24"/>
            <w:szCs w:val="24"/>
          </w:rPr>
          <m:t>Q</m:t>
        </m:r>
      </m:oMath>
      <w:r w:rsidRPr="005F0247">
        <w:rPr>
          <w:rFonts w:ascii="Calibri" w:eastAsia="DengXian" w:hAnsi="Calibri" w:cs="Calibri"/>
          <w:bCs/>
          <w:sz w:val="24"/>
          <w:szCs w:val="24"/>
        </w:rPr>
        <w:t xml:space="preserve"> = total charge in coulombs passed over the duration of the electrolysis.</w:t>
      </w:r>
    </w:p>
    <w:p w14:paraId="06F9EEFA" w14:textId="77777777" w:rsidR="005F0247" w:rsidRPr="005F0247" w:rsidRDefault="005F0247" w:rsidP="0003209D">
      <w:pPr>
        <w:spacing w:line="240" w:lineRule="auto"/>
        <w:jc w:val="both"/>
        <w:rPr>
          <w:rFonts w:ascii="Calibri" w:eastAsia="DengXian" w:hAnsi="Calibri" w:cs="Calibri"/>
          <w:bCs/>
          <w:sz w:val="24"/>
          <w:szCs w:val="24"/>
        </w:rPr>
      </w:pPr>
      <w:r w:rsidRPr="005F0247">
        <w:rPr>
          <w:rFonts w:ascii="Calibri" w:eastAsia="DengXian" w:hAnsi="Calibri" w:cs="Calibri"/>
          <w:bCs/>
          <w:sz w:val="24"/>
          <w:szCs w:val="24"/>
        </w:rPr>
        <w:t>The percentage conversion of oxalic acid in the experiment was computed thus:</w:t>
      </w:r>
    </w:p>
    <w:p w14:paraId="3D519F8C" w14:textId="77777777" w:rsidR="005F0247" w:rsidRPr="005F0247" w:rsidRDefault="005F0247" w:rsidP="0003209D">
      <w:pPr>
        <w:spacing w:line="240" w:lineRule="auto"/>
        <w:jc w:val="both"/>
        <w:rPr>
          <w:rFonts w:ascii="Calibri" w:eastAsia="DengXian" w:hAnsi="Calibri" w:cs="Calibri"/>
          <w:bCs/>
          <w:sz w:val="24"/>
          <w:szCs w:val="24"/>
        </w:rPr>
      </w:pPr>
      <m:oMathPara>
        <m:oMath>
          <m:r>
            <w:rPr>
              <w:rFonts w:ascii="Cambria Math" w:eastAsia="DengXian" w:hAnsi="Cambria Math" w:cs="Calibri"/>
              <w:sz w:val="24"/>
              <w:szCs w:val="24"/>
            </w:rPr>
            <m:t>Conversion</m:t>
          </m:r>
          <m:r>
            <m:rPr>
              <m:sty m:val="p"/>
            </m:rPr>
            <w:rPr>
              <w:rFonts w:ascii="Cambria Math" w:eastAsia="DengXian" w:hAnsi="Cambria Math" w:cs="Calibri"/>
              <w:sz w:val="24"/>
              <w:szCs w:val="24"/>
            </w:rPr>
            <m:t xml:space="preserve"> </m:t>
          </m:r>
          <m:d>
            <m:dPr>
              <m:ctrlPr>
                <w:rPr>
                  <w:rFonts w:ascii="Cambria Math" w:eastAsia="DengXian" w:hAnsi="Cambria Math" w:cs="Calibri"/>
                  <w:bCs/>
                  <w:sz w:val="24"/>
                  <w:szCs w:val="24"/>
                </w:rPr>
              </m:ctrlPr>
            </m:dPr>
            <m:e>
              <m:r>
                <m:rPr>
                  <m:sty m:val="p"/>
                </m:rPr>
                <w:rPr>
                  <w:rFonts w:ascii="Cambria Math" w:eastAsia="DengXian" w:hAnsi="Cambria Math" w:cs="Calibri"/>
                  <w:sz w:val="24"/>
                  <w:szCs w:val="24"/>
                </w:rPr>
                <m:t>%</m:t>
              </m:r>
            </m:e>
          </m:d>
          <m:r>
            <m:rPr>
              <m:sty m:val="p"/>
            </m:rPr>
            <w:rPr>
              <w:rFonts w:ascii="Cambria Math" w:eastAsia="DengXian" w:hAnsi="Cambria Math" w:cs="Calibri"/>
              <w:sz w:val="24"/>
              <w:szCs w:val="24"/>
            </w:rPr>
            <m:t>=</m:t>
          </m:r>
          <m:f>
            <m:fPr>
              <m:ctrlPr>
                <w:rPr>
                  <w:rFonts w:ascii="Cambria Math" w:eastAsia="DengXian" w:hAnsi="Cambria Math" w:cs="Calibri"/>
                  <w:bCs/>
                  <w:sz w:val="24"/>
                  <w:szCs w:val="24"/>
                </w:rPr>
              </m:ctrlPr>
            </m:fPr>
            <m:num>
              <m:sSub>
                <m:sSubPr>
                  <m:ctrlPr>
                    <w:rPr>
                      <w:rFonts w:ascii="Cambria Math" w:eastAsia="DengXian" w:hAnsi="Cambria Math" w:cs="Calibri"/>
                      <w:bCs/>
                      <w:sz w:val="24"/>
                      <w:szCs w:val="24"/>
                    </w:rPr>
                  </m:ctrlPr>
                </m:sSubPr>
                <m:e>
                  <m:r>
                    <m:rPr>
                      <m:sty m:val="p"/>
                    </m:rPr>
                    <w:rPr>
                      <w:rFonts w:ascii="Cambria Math" w:eastAsia="DengXian" w:hAnsi="Cambria Math" w:cs="Calibri"/>
                      <w:sz w:val="24"/>
                      <w:szCs w:val="24"/>
                    </w:rPr>
                    <m:t>[</m:t>
                  </m:r>
                  <m:r>
                    <w:rPr>
                      <w:rFonts w:ascii="Cambria Math" w:eastAsia="DengXian" w:hAnsi="Cambria Math" w:cs="Calibri"/>
                      <w:sz w:val="24"/>
                      <w:szCs w:val="24"/>
                    </w:rPr>
                    <m:t>OX</m:t>
                  </m:r>
                  <m:r>
                    <m:rPr>
                      <m:sty m:val="p"/>
                    </m:rPr>
                    <w:rPr>
                      <w:rFonts w:ascii="Cambria Math" w:eastAsia="DengXian" w:hAnsi="Cambria Math" w:cs="Calibri"/>
                      <w:sz w:val="24"/>
                      <w:szCs w:val="24"/>
                    </w:rPr>
                    <m:t>]</m:t>
                  </m:r>
                </m:e>
                <m:sub>
                  <m:r>
                    <w:rPr>
                      <w:rFonts w:ascii="Cambria Math" w:eastAsia="DengXian" w:hAnsi="Cambria Math" w:cs="Calibri"/>
                      <w:sz w:val="24"/>
                      <w:szCs w:val="24"/>
                    </w:rPr>
                    <m:t>i</m:t>
                  </m:r>
                </m:sub>
              </m:sSub>
              <m:r>
                <m:rPr>
                  <m:sty m:val="p"/>
                </m:rPr>
                <w:rPr>
                  <w:rFonts w:ascii="Cambria Math" w:eastAsia="DengXian" w:hAnsi="Cambria Math" w:cs="Calibri"/>
                  <w:sz w:val="24"/>
                  <w:szCs w:val="24"/>
                </w:rPr>
                <m:t>-</m:t>
              </m:r>
              <m:sSub>
                <m:sSubPr>
                  <m:ctrlPr>
                    <w:rPr>
                      <w:rFonts w:ascii="Cambria Math" w:eastAsia="DengXian" w:hAnsi="Cambria Math" w:cs="Calibri"/>
                      <w:bCs/>
                      <w:sz w:val="24"/>
                      <w:szCs w:val="24"/>
                    </w:rPr>
                  </m:ctrlPr>
                </m:sSubPr>
                <m:e>
                  <m:r>
                    <m:rPr>
                      <m:sty m:val="p"/>
                    </m:rPr>
                    <w:rPr>
                      <w:rFonts w:ascii="Cambria Math" w:eastAsia="DengXian" w:hAnsi="Cambria Math" w:cs="Calibri"/>
                      <w:sz w:val="24"/>
                      <w:szCs w:val="24"/>
                    </w:rPr>
                    <m:t>[</m:t>
                  </m:r>
                  <m:r>
                    <w:rPr>
                      <w:rFonts w:ascii="Cambria Math" w:eastAsia="DengXian" w:hAnsi="Cambria Math" w:cs="Calibri"/>
                      <w:sz w:val="24"/>
                      <w:szCs w:val="24"/>
                    </w:rPr>
                    <m:t>OX</m:t>
                  </m:r>
                  <m:r>
                    <m:rPr>
                      <m:sty m:val="p"/>
                    </m:rPr>
                    <w:rPr>
                      <w:rFonts w:ascii="Cambria Math" w:eastAsia="DengXian" w:hAnsi="Cambria Math" w:cs="Calibri"/>
                      <w:sz w:val="24"/>
                      <w:szCs w:val="24"/>
                    </w:rPr>
                    <m:t>]</m:t>
                  </m:r>
                </m:e>
                <m:sub>
                  <m:r>
                    <w:rPr>
                      <w:rFonts w:ascii="Cambria Math" w:eastAsia="DengXian" w:hAnsi="Cambria Math" w:cs="Calibri"/>
                      <w:sz w:val="24"/>
                      <w:szCs w:val="24"/>
                    </w:rPr>
                    <m:t>t</m:t>
                  </m:r>
                </m:sub>
              </m:sSub>
            </m:num>
            <m:den>
              <m:sSub>
                <m:sSubPr>
                  <m:ctrlPr>
                    <w:rPr>
                      <w:rFonts w:ascii="Cambria Math" w:eastAsia="DengXian" w:hAnsi="Cambria Math" w:cs="Calibri"/>
                      <w:bCs/>
                      <w:sz w:val="24"/>
                      <w:szCs w:val="24"/>
                    </w:rPr>
                  </m:ctrlPr>
                </m:sSubPr>
                <m:e>
                  <m:r>
                    <m:rPr>
                      <m:sty m:val="p"/>
                    </m:rPr>
                    <w:rPr>
                      <w:rFonts w:ascii="Cambria Math" w:eastAsia="DengXian" w:hAnsi="Cambria Math" w:cs="Calibri"/>
                      <w:sz w:val="24"/>
                      <w:szCs w:val="24"/>
                    </w:rPr>
                    <m:t>[</m:t>
                  </m:r>
                  <m:r>
                    <w:rPr>
                      <w:rFonts w:ascii="Cambria Math" w:eastAsia="DengXian" w:hAnsi="Cambria Math" w:cs="Calibri"/>
                      <w:sz w:val="24"/>
                      <w:szCs w:val="24"/>
                    </w:rPr>
                    <m:t>OX</m:t>
                  </m:r>
                  <m:r>
                    <m:rPr>
                      <m:sty m:val="p"/>
                    </m:rPr>
                    <w:rPr>
                      <w:rFonts w:ascii="Cambria Math" w:eastAsia="DengXian" w:hAnsi="Cambria Math" w:cs="Calibri"/>
                      <w:sz w:val="24"/>
                      <w:szCs w:val="24"/>
                    </w:rPr>
                    <m:t>]</m:t>
                  </m:r>
                </m:e>
                <m:sub>
                  <m:r>
                    <w:rPr>
                      <w:rFonts w:ascii="Cambria Math" w:eastAsia="DengXian" w:hAnsi="Cambria Math" w:cs="Calibri"/>
                      <w:sz w:val="24"/>
                      <w:szCs w:val="24"/>
                    </w:rPr>
                    <m:t>i</m:t>
                  </m:r>
                </m:sub>
              </m:sSub>
            </m:den>
          </m:f>
          <m:r>
            <m:rPr>
              <m:sty m:val="p"/>
            </m:rPr>
            <w:rPr>
              <w:rFonts w:ascii="Cambria Math" w:eastAsia="DengXian" w:hAnsi="Cambria Math" w:cs="Calibri"/>
              <w:sz w:val="24"/>
              <w:szCs w:val="24"/>
            </w:rPr>
            <m:t>×100     (Equation S2)</m:t>
          </m:r>
        </m:oMath>
      </m:oMathPara>
    </w:p>
    <w:p w14:paraId="7F629692" w14:textId="77777777" w:rsidR="005F0247" w:rsidRPr="005F0247" w:rsidRDefault="005F0247" w:rsidP="0003209D">
      <w:pPr>
        <w:spacing w:line="240" w:lineRule="auto"/>
        <w:jc w:val="both"/>
        <w:rPr>
          <w:rFonts w:ascii="Calibri" w:eastAsia="DengXian" w:hAnsi="Calibri" w:cs="Calibri"/>
          <w:sz w:val="24"/>
          <w:szCs w:val="24"/>
        </w:rPr>
      </w:pPr>
      <w:r w:rsidRPr="005F0247">
        <w:rPr>
          <w:rFonts w:ascii="Calibri" w:eastAsia="DengXian" w:hAnsi="Calibri" w:cs="Calibri"/>
          <w:sz w:val="24"/>
          <w:szCs w:val="24"/>
        </w:rPr>
        <w:t xml:space="preserve">Where, </w:t>
      </w:r>
      <m:oMath>
        <m:sSub>
          <m:sSubPr>
            <m:ctrlPr>
              <w:rPr>
                <w:rFonts w:ascii="Cambria Math" w:eastAsia="DengXian" w:hAnsi="Cambria Math" w:cs="Calibri"/>
                <w:i/>
                <w:sz w:val="24"/>
                <w:szCs w:val="24"/>
              </w:rPr>
            </m:ctrlPr>
          </m:sSubPr>
          <m:e>
            <m:r>
              <w:rPr>
                <w:rFonts w:ascii="Cambria Math" w:eastAsia="DengXian" w:hAnsi="Cambria Math" w:cs="Calibri"/>
                <w:sz w:val="24"/>
                <w:szCs w:val="24"/>
              </w:rPr>
              <m:t>[OX]</m:t>
            </m:r>
          </m:e>
          <m:sub>
            <m:r>
              <w:rPr>
                <w:rFonts w:ascii="Cambria Math" w:eastAsia="DengXian" w:hAnsi="Cambria Math" w:cs="Calibri"/>
                <w:sz w:val="24"/>
                <w:szCs w:val="24"/>
              </w:rPr>
              <m:t>i</m:t>
            </m:r>
          </m:sub>
        </m:sSub>
      </m:oMath>
      <w:r w:rsidRPr="005F0247">
        <w:rPr>
          <w:rFonts w:ascii="Calibri" w:eastAsia="DengXian" w:hAnsi="Calibri" w:cs="Calibri"/>
          <w:sz w:val="24"/>
          <w:szCs w:val="24"/>
        </w:rPr>
        <w:t xml:space="preserve"> = the initial concentration of oxalic acid, and </w:t>
      </w:r>
      <m:oMath>
        <m:sSub>
          <m:sSubPr>
            <m:ctrlPr>
              <w:rPr>
                <w:rFonts w:ascii="Cambria Math" w:eastAsia="DengXian" w:hAnsi="Cambria Math" w:cs="Calibri"/>
                <w:i/>
                <w:sz w:val="24"/>
                <w:szCs w:val="24"/>
              </w:rPr>
            </m:ctrlPr>
          </m:sSubPr>
          <m:e>
            <m:r>
              <w:rPr>
                <w:rFonts w:ascii="Cambria Math" w:eastAsia="DengXian" w:hAnsi="Cambria Math" w:cs="Calibri"/>
                <w:sz w:val="24"/>
                <w:szCs w:val="24"/>
              </w:rPr>
              <m:t>[OX]</m:t>
            </m:r>
          </m:e>
          <m:sub>
            <m:r>
              <w:rPr>
                <w:rFonts w:ascii="Cambria Math" w:eastAsia="DengXian" w:hAnsi="Cambria Math" w:cs="Calibri"/>
                <w:sz w:val="24"/>
                <w:szCs w:val="24"/>
              </w:rPr>
              <m:t>t</m:t>
            </m:r>
          </m:sub>
        </m:sSub>
      </m:oMath>
      <w:r w:rsidRPr="005F0247">
        <w:rPr>
          <w:rFonts w:ascii="Calibri" w:eastAsia="DengXian" w:hAnsi="Calibri" w:cs="Calibri"/>
          <w:sz w:val="24"/>
          <w:szCs w:val="24"/>
        </w:rPr>
        <w:t xml:space="preserve"> = the concentration of oxalic acid at the end of the electrolysis. </w:t>
      </w:r>
    </w:p>
    <w:p w14:paraId="043761A5" w14:textId="77777777" w:rsidR="005F0247" w:rsidRPr="005F0247" w:rsidRDefault="005F0247" w:rsidP="0003209D">
      <w:pPr>
        <w:spacing w:line="240" w:lineRule="auto"/>
        <w:jc w:val="both"/>
        <w:rPr>
          <w:rFonts w:ascii="Calibri" w:eastAsia="DengXian" w:hAnsi="Calibri" w:cs="Calibri"/>
          <w:sz w:val="24"/>
          <w:szCs w:val="24"/>
        </w:rPr>
      </w:pPr>
      <w:r w:rsidRPr="005F0247">
        <w:rPr>
          <w:rFonts w:ascii="Calibri" w:eastAsia="DengXian" w:hAnsi="Calibri" w:cs="Calibri"/>
          <w:sz w:val="24"/>
          <w:szCs w:val="24"/>
        </w:rPr>
        <w:t>The yield (Y) of the respective products was calculated as follows:</w:t>
      </w:r>
    </w:p>
    <w:p w14:paraId="5BA99B21" w14:textId="77777777" w:rsidR="005F0247" w:rsidRPr="005F0247" w:rsidRDefault="005F0247" w:rsidP="0003209D">
      <w:pPr>
        <w:spacing w:line="240" w:lineRule="auto"/>
        <w:jc w:val="both"/>
        <w:rPr>
          <w:rFonts w:ascii="Calibri" w:eastAsia="DengXian" w:hAnsi="Calibri" w:cs="Calibri"/>
          <w:sz w:val="24"/>
          <w:szCs w:val="24"/>
        </w:rPr>
      </w:pPr>
      <m:oMathPara>
        <m:oMath>
          <m:r>
            <w:rPr>
              <w:rFonts w:ascii="Cambria Math" w:eastAsia="DengXian" w:hAnsi="Cambria Math" w:cs="Calibri"/>
              <w:sz w:val="24"/>
              <w:szCs w:val="24"/>
            </w:rPr>
            <m:t xml:space="preserve">Yield to </m:t>
          </m:r>
          <m:sSub>
            <m:sSubPr>
              <m:ctrlPr>
                <w:rPr>
                  <w:rFonts w:ascii="Cambria Math" w:eastAsia="DengXian" w:hAnsi="Cambria Math" w:cs="Calibri"/>
                  <w:i/>
                  <w:sz w:val="24"/>
                  <w:szCs w:val="24"/>
                </w:rPr>
              </m:ctrlPr>
            </m:sSubPr>
            <m:e>
              <m:r>
                <w:rPr>
                  <w:rFonts w:ascii="Cambria Math" w:eastAsia="DengXian" w:hAnsi="Cambria Math" w:cs="Calibri"/>
                  <w:sz w:val="24"/>
                  <w:szCs w:val="24"/>
                </w:rPr>
                <m:t>m</m:t>
              </m:r>
            </m:e>
            <m:sub>
              <m:r>
                <w:rPr>
                  <w:rFonts w:ascii="Cambria Math" w:eastAsia="DengXian" w:hAnsi="Cambria Math" w:cs="Calibri"/>
                  <w:sz w:val="24"/>
                  <w:szCs w:val="24"/>
                </w:rPr>
                <m:t>[GO]</m:t>
              </m:r>
            </m:sub>
          </m:sSub>
          <m:r>
            <w:rPr>
              <w:rFonts w:ascii="Cambria Math" w:eastAsia="DengXian" w:hAnsi="Cambria Math" w:cs="Calibri"/>
              <w:sz w:val="24"/>
              <w:szCs w:val="24"/>
            </w:rPr>
            <m:t xml:space="preserve"> </m:t>
          </m:r>
          <m:d>
            <m:dPr>
              <m:ctrlPr>
                <w:rPr>
                  <w:rFonts w:ascii="Cambria Math" w:eastAsia="DengXian" w:hAnsi="Cambria Math" w:cs="Calibri"/>
                  <w:i/>
                  <w:sz w:val="24"/>
                  <w:szCs w:val="24"/>
                </w:rPr>
              </m:ctrlPr>
            </m:dPr>
            <m:e>
              <m:r>
                <w:rPr>
                  <w:rFonts w:ascii="Cambria Math" w:eastAsia="DengXian" w:hAnsi="Cambria Math" w:cs="Calibri"/>
                  <w:sz w:val="24"/>
                  <w:szCs w:val="24"/>
                </w:rPr>
                <m:t>%</m:t>
              </m:r>
            </m:e>
          </m:d>
          <m:r>
            <w:rPr>
              <w:rFonts w:ascii="Cambria Math" w:eastAsia="DengXian" w:hAnsi="Cambria Math" w:cs="Calibri"/>
              <w:sz w:val="24"/>
              <w:szCs w:val="24"/>
            </w:rPr>
            <m:t>=</m:t>
          </m:r>
          <m:f>
            <m:fPr>
              <m:ctrlPr>
                <w:rPr>
                  <w:rFonts w:ascii="Cambria Math" w:eastAsia="DengXian" w:hAnsi="Cambria Math" w:cs="Calibri"/>
                  <w:i/>
                  <w:sz w:val="24"/>
                  <w:szCs w:val="24"/>
                </w:rPr>
              </m:ctrlPr>
            </m:fPr>
            <m:num>
              <m:sSub>
                <m:sSubPr>
                  <m:ctrlPr>
                    <w:rPr>
                      <w:rFonts w:ascii="Cambria Math" w:eastAsia="DengXian" w:hAnsi="Cambria Math" w:cs="Calibri"/>
                      <w:i/>
                      <w:sz w:val="24"/>
                      <w:szCs w:val="24"/>
                    </w:rPr>
                  </m:ctrlPr>
                </m:sSubPr>
                <m:e>
                  <m:r>
                    <w:rPr>
                      <w:rFonts w:ascii="Cambria Math" w:eastAsia="DengXian" w:hAnsi="Cambria Math" w:cs="Calibri"/>
                      <w:sz w:val="24"/>
                      <w:szCs w:val="24"/>
                    </w:rPr>
                    <m:t>[GO]</m:t>
                  </m:r>
                </m:e>
                <m:sub>
                  <m:r>
                    <w:rPr>
                      <w:rFonts w:ascii="Cambria Math" w:eastAsia="DengXian" w:hAnsi="Cambria Math" w:cs="Calibri"/>
                      <w:sz w:val="24"/>
                      <w:szCs w:val="24"/>
                    </w:rPr>
                    <m:t>t</m:t>
                  </m:r>
                </m:sub>
              </m:sSub>
            </m:num>
            <m:den>
              <m:sSub>
                <m:sSubPr>
                  <m:ctrlPr>
                    <w:rPr>
                      <w:rFonts w:ascii="Cambria Math" w:eastAsia="DengXian" w:hAnsi="Cambria Math" w:cs="Calibri"/>
                      <w:i/>
                      <w:sz w:val="24"/>
                      <w:szCs w:val="24"/>
                    </w:rPr>
                  </m:ctrlPr>
                </m:sSubPr>
                <m:e>
                  <m:r>
                    <w:rPr>
                      <w:rFonts w:ascii="Cambria Math" w:eastAsia="DengXian" w:hAnsi="Cambria Math" w:cs="Calibri"/>
                      <w:sz w:val="24"/>
                      <w:szCs w:val="24"/>
                    </w:rPr>
                    <m:t>[OX]</m:t>
                  </m:r>
                </m:e>
                <m:sub>
                  <m:r>
                    <w:rPr>
                      <w:rFonts w:ascii="Cambria Math" w:eastAsia="DengXian" w:hAnsi="Cambria Math" w:cs="Calibri"/>
                      <w:sz w:val="24"/>
                      <w:szCs w:val="24"/>
                    </w:rPr>
                    <m:t>i</m:t>
                  </m:r>
                </m:sub>
              </m:sSub>
            </m:den>
          </m:f>
          <m:r>
            <w:rPr>
              <w:rFonts w:ascii="Cambria Math" w:eastAsia="DengXian" w:hAnsi="Cambria Math" w:cs="Calibri"/>
              <w:sz w:val="24"/>
              <w:szCs w:val="24"/>
            </w:rPr>
            <m:t xml:space="preserve">×100               </m:t>
          </m:r>
          <m:r>
            <m:rPr>
              <m:sty m:val="p"/>
            </m:rPr>
            <w:rPr>
              <w:rFonts w:ascii="Cambria Math" w:eastAsia="DengXian" w:hAnsi="Cambria Math" w:cs="Calibri"/>
              <w:sz w:val="24"/>
              <w:szCs w:val="24"/>
            </w:rPr>
            <m:t>(Equation S3)</m:t>
          </m:r>
        </m:oMath>
      </m:oMathPara>
    </w:p>
    <w:p w14:paraId="14B136EE" w14:textId="77777777" w:rsidR="005F0247" w:rsidRPr="005F0247" w:rsidRDefault="005F0247" w:rsidP="0003209D">
      <w:pPr>
        <w:spacing w:line="240" w:lineRule="auto"/>
        <w:jc w:val="both"/>
        <w:rPr>
          <w:rFonts w:ascii="Calibri" w:eastAsia="DengXian" w:hAnsi="Calibri" w:cs="Calibri"/>
          <w:sz w:val="24"/>
          <w:szCs w:val="24"/>
        </w:rPr>
      </w:pPr>
      <m:oMathPara>
        <m:oMath>
          <m:r>
            <w:rPr>
              <w:rFonts w:ascii="Cambria Math" w:eastAsia="DengXian" w:hAnsi="Cambria Math" w:cs="Calibri"/>
              <w:sz w:val="24"/>
              <w:szCs w:val="24"/>
            </w:rPr>
            <m:t xml:space="preserve">Yield to </m:t>
          </m:r>
          <m:sSub>
            <m:sSubPr>
              <m:ctrlPr>
                <w:rPr>
                  <w:rFonts w:ascii="Cambria Math" w:eastAsia="DengXian" w:hAnsi="Cambria Math" w:cs="Calibri"/>
                  <w:i/>
                  <w:sz w:val="24"/>
                  <w:szCs w:val="24"/>
                </w:rPr>
              </m:ctrlPr>
            </m:sSubPr>
            <m:e>
              <m:r>
                <w:rPr>
                  <w:rFonts w:ascii="Cambria Math" w:eastAsia="DengXian" w:hAnsi="Cambria Math" w:cs="Calibri"/>
                  <w:sz w:val="24"/>
                  <w:szCs w:val="24"/>
                </w:rPr>
                <m:t>m</m:t>
              </m:r>
            </m:e>
            <m:sub>
              <m:r>
                <w:rPr>
                  <w:rFonts w:ascii="Cambria Math" w:eastAsia="DengXian" w:hAnsi="Cambria Math" w:cs="Calibri"/>
                  <w:sz w:val="24"/>
                  <w:szCs w:val="24"/>
                </w:rPr>
                <m:t>[GC]</m:t>
              </m:r>
            </m:sub>
          </m:sSub>
          <m:r>
            <w:rPr>
              <w:rFonts w:ascii="Cambria Math" w:eastAsia="DengXian" w:hAnsi="Cambria Math" w:cs="Calibri"/>
              <w:sz w:val="24"/>
              <w:szCs w:val="24"/>
            </w:rPr>
            <m:t xml:space="preserve"> </m:t>
          </m:r>
          <m:d>
            <m:dPr>
              <m:ctrlPr>
                <w:rPr>
                  <w:rFonts w:ascii="Cambria Math" w:eastAsia="DengXian" w:hAnsi="Cambria Math" w:cs="Calibri"/>
                  <w:i/>
                  <w:sz w:val="24"/>
                  <w:szCs w:val="24"/>
                </w:rPr>
              </m:ctrlPr>
            </m:dPr>
            <m:e>
              <m:r>
                <w:rPr>
                  <w:rFonts w:ascii="Cambria Math" w:eastAsia="DengXian" w:hAnsi="Cambria Math" w:cs="Calibri"/>
                  <w:sz w:val="24"/>
                  <w:szCs w:val="24"/>
                </w:rPr>
                <m:t>%</m:t>
              </m:r>
            </m:e>
          </m:d>
          <m:r>
            <w:rPr>
              <w:rFonts w:ascii="Cambria Math" w:eastAsia="DengXian" w:hAnsi="Cambria Math" w:cs="Calibri"/>
              <w:sz w:val="24"/>
              <w:szCs w:val="24"/>
            </w:rPr>
            <m:t>=</m:t>
          </m:r>
          <m:f>
            <m:fPr>
              <m:ctrlPr>
                <w:rPr>
                  <w:rFonts w:ascii="Cambria Math" w:eastAsia="DengXian" w:hAnsi="Cambria Math" w:cs="Calibri"/>
                  <w:i/>
                  <w:sz w:val="24"/>
                  <w:szCs w:val="24"/>
                </w:rPr>
              </m:ctrlPr>
            </m:fPr>
            <m:num>
              <m:sSub>
                <m:sSubPr>
                  <m:ctrlPr>
                    <w:rPr>
                      <w:rFonts w:ascii="Cambria Math" w:eastAsia="DengXian" w:hAnsi="Cambria Math" w:cs="Calibri"/>
                      <w:i/>
                      <w:sz w:val="24"/>
                      <w:szCs w:val="24"/>
                    </w:rPr>
                  </m:ctrlPr>
                </m:sSubPr>
                <m:e>
                  <m:r>
                    <w:rPr>
                      <w:rFonts w:ascii="Cambria Math" w:eastAsia="DengXian" w:hAnsi="Cambria Math" w:cs="Calibri"/>
                      <w:sz w:val="24"/>
                      <w:szCs w:val="24"/>
                    </w:rPr>
                    <m:t>[GC]</m:t>
                  </m:r>
                </m:e>
                <m:sub>
                  <m:r>
                    <w:rPr>
                      <w:rFonts w:ascii="Cambria Math" w:eastAsia="DengXian" w:hAnsi="Cambria Math" w:cs="Calibri"/>
                      <w:sz w:val="24"/>
                      <w:szCs w:val="24"/>
                    </w:rPr>
                    <m:t>t</m:t>
                  </m:r>
                </m:sub>
              </m:sSub>
            </m:num>
            <m:den>
              <m:sSub>
                <m:sSubPr>
                  <m:ctrlPr>
                    <w:rPr>
                      <w:rFonts w:ascii="Cambria Math" w:eastAsia="DengXian" w:hAnsi="Cambria Math" w:cs="Calibri"/>
                      <w:i/>
                      <w:sz w:val="24"/>
                      <w:szCs w:val="24"/>
                    </w:rPr>
                  </m:ctrlPr>
                </m:sSubPr>
                <m:e>
                  <m:r>
                    <w:rPr>
                      <w:rFonts w:ascii="Cambria Math" w:eastAsia="DengXian" w:hAnsi="Cambria Math" w:cs="Calibri"/>
                      <w:sz w:val="24"/>
                      <w:szCs w:val="24"/>
                    </w:rPr>
                    <m:t>[OX]</m:t>
                  </m:r>
                </m:e>
                <m:sub>
                  <m:r>
                    <w:rPr>
                      <w:rFonts w:ascii="Cambria Math" w:eastAsia="DengXian" w:hAnsi="Cambria Math" w:cs="Calibri"/>
                      <w:sz w:val="24"/>
                      <w:szCs w:val="24"/>
                    </w:rPr>
                    <m:t>i</m:t>
                  </m:r>
                </m:sub>
              </m:sSub>
            </m:den>
          </m:f>
          <m:r>
            <w:rPr>
              <w:rFonts w:ascii="Cambria Math" w:eastAsia="DengXian" w:hAnsi="Cambria Math" w:cs="Calibri"/>
              <w:sz w:val="24"/>
              <w:szCs w:val="24"/>
            </w:rPr>
            <m:t xml:space="preserve">×100                  </m:t>
          </m:r>
          <m:r>
            <m:rPr>
              <m:sty m:val="p"/>
            </m:rPr>
            <w:rPr>
              <w:rFonts w:ascii="Cambria Math" w:eastAsia="DengXian" w:hAnsi="Cambria Math" w:cs="Calibri"/>
              <w:sz w:val="24"/>
              <w:szCs w:val="24"/>
            </w:rPr>
            <m:t>(Equation S4)</m:t>
          </m:r>
        </m:oMath>
      </m:oMathPara>
    </w:p>
    <w:p w14:paraId="3B1682AD" w14:textId="3A24B329" w:rsidR="0027514F" w:rsidRDefault="005F0247" w:rsidP="0003209D">
      <w:pPr>
        <w:spacing w:line="240" w:lineRule="auto"/>
        <w:jc w:val="both"/>
        <w:rPr>
          <w:rFonts w:ascii="Calibri" w:eastAsia="DengXian" w:hAnsi="Calibri" w:cs="Calibri"/>
          <w:sz w:val="24"/>
          <w:szCs w:val="24"/>
        </w:rPr>
      </w:pPr>
      <w:r w:rsidRPr="005F0247">
        <w:rPr>
          <w:rFonts w:ascii="Calibri" w:eastAsia="DengXian" w:hAnsi="Calibri" w:cs="Calibri"/>
          <w:sz w:val="24"/>
          <w:szCs w:val="24"/>
        </w:rPr>
        <w:t xml:space="preserve">Where, </w:t>
      </w:r>
      <m:oMath>
        <m:sSub>
          <m:sSubPr>
            <m:ctrlPr>
              <w:rPr>
                <w:rFonts w:ascii="Cambria Math" w:eastAsia="DengXian" w:hAnsi="Cambria Math" w:cs="Calibri"/>
                <w:i/>
                <w:sz w:val="24"/>
                <w:szCs w:val="24"/>
              </w:rPr>
            </m:ctrlPr>
          </m:sSubPr>
          <m:e>
            <m:r>
              <w:rPr>
                <w:rFonts w:ascii="Cambria Math" w:eastAsia="DengXian" w:hAnsi="Cambria Math" w:cs="Calibri"/>
                <w:sz w:val="24"/>
                <w:szCs w:val="24"/>
              </w:rPr>
              <m:t>[GO]</m:t>
            </m:r>
          </m:e>
          <m:sub>
            <m:r>
              <w:rPr>
                <w:rFonts w:ascii="Cambria Math" w:eastAsia="DengXian" w:hAnsi="Cambria Math" w:cs="Calibri"/>
                <w:sz w:val="24"/>
                <w:szCs w:val="24"/>
              </w:rPr>
              <m:t>t</m:t>
            </m:r>
          </m:sub>
        </m:sSub>
      </m:oMath>
      <w:r w:rsidRPr="005F0247">
        <w:rPr>
          <w:rFonts w:ascii="Calibri" w:eastAsia="DengXian" w:hAnsi="Calibri" w:cs="Calibri"/>
          <w:sz w:val="24"/>
          <w:szCs w:val="24"/>
        </w:rPr>
        <w:t xml:space="preserve"> = the concentration of </w:t>
      </w:r>
      <m:oMath>
        <m:sSub>
          <m:sSubPr>
            <m:ctrlPr>
              <w:rPr>
                <w:rFonts w:ascii="Cambria Math" w:eastAsia="DengXian" w:hAnsi="Cambria Math" w:cs="Calibri"/>
                <w:i/>
                <w:sz w:val="24"/>
                <w:szCs w:val="24"/>
              </w:rPr>
            </m:ctrlPr>
          </m:sSubPr>
          <m:e>
            <m:r>
              <w:rPr>
                <w:rFonts w:ascii="Cambria Math" w:eastAsia="DengXian" w:hAnsi="Cambria Math" w:cs="Calibri"/>
                <w:sz w:val="24"/>
                <w:szCs w:val="24"/>
              </w:rPr>
              <m:t>m</m:t>
            </m:r>
          </m:e>
          <m:sub>
            <m:r>
              <w:rPr>
                <w:rFonts w:ascii="Cambria Math" w:eastAsia="DengXian" w:hAnsi="Cambria Math" w:cs="Calibri"/>
                <w:sz w:val="24"/>
                <w:szCs w:val="24"/>
              </w:rPr>
              <m:t>[GO]</m:t>
            </m:r>
          </m:sub>
        </m:sSub>
      </m:oMath>
      <w:r w:rsidRPr="005F0247">
        <w:rPr>
          <w:rFonts w:ascii="Calibri" w:eastAsia="DengXian" w:hAnsi="Calibri" w:cs="Calibri"/>
          <w:sz w:val="24"/>
          <w:szCs w:val="24"/>
        </w:rPr>
        <w:t xml:space="preserve"> after 2 h of reaction time, </w:t>
      </w:r>
      <m:oMath>
        <m:r>
          <w:rPr>
            <w:rFonts w:ascii="Cambria Math" w:eastAsia="DengXian" w:hAnsi="Cambria Math" w:cs="Calibri"/>
            <w:sz w:val="24"/>
            <w:szCs w:val="24"/>
          </w:rPr>
          <m:t xml:space="preserve"> </m:t>
        </m:r>
        <m:sSub>
          <m:sSubPr>
            <m:ctrlPr>
              <w:rPr>
                <w:rFonts w:ascii="Cambria Math" w:eastAsia="DengXian" w:hAnsi="Cambria Math" w:cs="Calibri"/>
                <w:i/>
                <w:sz w:val="24"/>
                <w:szCs w:val="24"/>
              </w:rPr>
            </m:ctrlPr>
          </m:sSubPr>
          <m:e>
            <m:r>
              <w:rPr>
                <w:rFonts w:ascii="Cambria Math" w:eastAsia="DengXian" w:hAnsi="Cambria Math" w:cs="Calibri"/>
                <w:sz w:val="24"/>
                <w:szCs w:val="24"/>
              </w:rPr>
              <m:t>[GC]</m:t>
            </m:r>
          </m:e>
          <m:sub>
            <m:r>
              <w:rPr>
                <w:rFonts w:ascii="Cambria Math" w:eastAsia="DengXian" w:hAnsi="Cambria Math" w:cs="Calibri"/>
                <w:sz w:val="24"/>
                <w:szCs w:val="24"/>
              </w:rPr>
              <m:t>t</m:t>
            </m:r>
          </m:sub>
        </m:sSub>
      </m:oMath>
      <w:r w:rsidRPr="005F0247">
        <w:rPr>
          <w:rFonts w:ascii="Calibri" w:eastAsia="DengXian" w:hAnsi="Calibri" w:cs="Calibri"/>
          <w:sz w:val="24"/>
          <w:szCs w:val="24"/>
        </w:rPr>
        <w:t xml:space="preserve"> = the concentration of </w:t>
      </w:r>
      <m:oMath>
        <m:sSub>
          <m:sSubPr>
            <m:ctrlPr>
              <w:rPr>
                <w:rFonts w:ascii="Cambria Math" w:eastAsia="DengXian" w:hAnsi="Cambria Math" w:cs="Calibri"/>
                <w:i/>
                <w:sz w:val="24"/>
                <w:szCs w:val="24"/>
              </w:rPr>
            </m:ctrlPr>
          </m:sSubPr>
          <m:e>
            <m:r>
              <w:rPr>
                <w:rFonts w:ascii="Cambria Math" w:eastAsia="DengXian" w:hAnsi="Cambria Math" w:cs="Calibri"/>
                <w:sz w:val="24"/>
                <w:szCs w:val="24"/>
              </w:rPr>
              <m:t>m</m:t>
            </m:r>
          </m:e>
          <m:sub>
            <m:r>
              <w:rPr>
                <w:rFonts w:ascii="Cambria Math" w:eastAsia="DengXian" w:hAnsi="Cambria Math" w:cs="Calibri"/>
                <w:sz w:val="24"/>
                <w:szCs w:val="24"/>
              </w:rPr>
              <m:t>[GC]</m:t>
            </m:r>
          </m:sub>
        </m:sSub>
      </m:oMath>
      <w:r w:rsidRPr="005F0247">
        <w:rPr>
          <w:rFonts w:ascii="Calibri" w:eastAsia="DengXian" w:hAnsi="Calibri" w:cs="Calibri"/>
          <w:sz w:val="24"/>
          <w:szCs w:val="24"/>
        </w:rPr>
        <w:t xml:space="preserve"> after 2 h of reaction time; [</w:t>
      </w:r>
      <w:r w:rsidRPr="005F0247">
        <w:rPr>
          <w:rFonts w:ascii="Calibri" w:eastAsia="DengXian" w:hAnsi="Calibri" w:cs="Calibri"/>
          <w:i/>
          <w:iCs/>
          <w:sz w:val="24"/>
          <w:szCs w:val="24"/>
        </w:rPr>
        <w:t>OX</w:t>
      </w:r>
      <w:r w:rsidRPr="005F0247">
        <w:rPr>
          <w:rFonts w:ascii="Calibri" w:eastAsia="DengXian" w:hAnsi="Calibri" w:cs="Calibri"/>
          <w:sz w:val="24"/>
          <w:szCs w:val="24"/>
        </w:rPr>
        <w:t>], [</w:t>
      </w:r>
      <w:r w:rsidRPr="005F0247">
        <w:rPr>
          <w:rFonts w:ascii="Calibri" w:eastAsia="DengXian" w:hAnsi="Calibri" w:cs="Calibri"/>
          <w:i/>
          <w:iCs/>
          <w:sz w:val="24"/>
          <w:szCs w:val="24"/>
        </w:rPr>
        <w:t>GO</w:t>
      </w:r>
      <w:r w:rsidRPr="005F0247">
        <w:rPr>
          <w:rFonts w:ascii="Calibri" w:eastAsia="DengXian" w:hAnsi="Calibri" w:cs="Calibri"/>
          <w:sz w:val="24"/>
          <w:szCs w:val="24"/>
        </w:rPr>
        <w:t>] and [</w:t>
      </w:r>
      <w:r w:rsidRPr="005F0247">
        <w:rPr>
          <w:rFonts w:ascii="Calibri" w:eastAsia="DengXian" w:hAnsi="Calibri" w:cs="Calibri"/>
          <w:i/>
          <w:iCs/>
          <w:sz w:val="24"/>
          <w:szCs w:val="24"/>
        </w:rPr>
        <w:t>GC</w:t>
      </w:r>
      <w:r w:rsidRPr="005F0247">
        <w:rPr>
          <w:rFonts w:ascii="Calibri" w:eastAsia="DengXian" w:hAnsi="Calibri" w:cs="Calibri"/>
          <w:sz w:val="24"/>
          <w:szCs w:val="24"/>
        </w:rPr>
        <w:t xml:space="preserve">] are the molar concentrations of oxalic, glyoxylic, and glycolic acids, respectively. </w:t>
      </w:r>
    </w:p>
    <w:p w14:paraId="678A70C4" w14:textId="77777777" w:rsidR="0027514F" w:rsidRPr="007B26F4" w:rsidRDefault="0027514F" w:rsidP="0003209D">
      <w:pPr>
        <w:keepNext/>
        <w:spacing w:after="0" w:line="240" w:lineRule="auto"/>
        <w:jc w:val="both"/>
        <w:rPr>
          <w:rFonts w:ascii="Calibri" w:eastAsia="DengXian" w:hAnsi="Calibri" w:cs="Calibri"/>
          <w:b/>
          <w:bCs/>
          <w:sz w:val="24"/>
          <w:szCs w:val="24"/>
        </w:rPr>
      </w:pPr>
    </w:p>
    <w:p w14:paraId="26940065" w14:textId="53791794" w:rsidR="0027514F" w:rsidRPr="005F0247" w:rsidRDefault="005F0247" w:rsidP="0003209D">
      <w:pPr>
        <w:keepNext/>
        <w:spacing w:after="0" w:line="240" w:lineRule="auto"/>
        <w:jc w:val="both"/>
        <w:rPr>
          <w:rFonts w:ascii="Calibri" w:eastAsia="DengXian" w:hAnsi="Calibri" w:cs="Calibri"/>
          <w:sz w:val="24"/>
          <w:szCs w:val="24"/>
        </w:rPr>
      </w:pPr>
      <w:r w:rsidRPr="005F0247">
        <w:rPr>
          <w:rFonts w:ascii="Calibri" w:eastAsia="DengXian" w:hAnsi="Calibri" w:cs="Calibri"/>
          <w:b/>
          <w:bCs/>
          <w:sz w:val="24"/>
          <w:szCs w:val="24"/>
        </w:rPr>
        <w:t>Table S</w:t>
      </w:r>
      <w:r w:rsidRPr="005F0247">
        <w:rPr>
          <w:rFonts w:ascii="Calibri" w:eastAsia="DengXian" w:hAnsi="Calibri" w:cs="Calibri"/>
          <w:b/>
          <w:bCs/>
          <w:sz w:val="24"/>
          <w:szCs w:val="24"/>
        </w:rPr>
        <w:fldChar w:fldCharType="begin"/>
      </w:r>
      <w:r w:rsidRPr="005F0247">
        <w:rPr>
          <w:rFonts w:ascii="Calibri" w:eastAsia="DengXian" w:hAnsi="Calibri" w:cs="Calibri"/>
          <w:b/>
          <w:bCs/>
          <w:sz w:val="24"/>
          <w:szCs w:val="24"/>
        </w:rPr>
        <w:instrText xml:space="preserve"> SEQ Table \* ARABIC </w:instrText>
      </w:r>
      <w:r w:rsidRPr="005F0247">
        <w:rPr>
          <w:rFonts w:ascii="Calibri" w:eastAsia="DengXian" w:hAnsi="Calibri" w:cs="Calibri"/>
          <w:b/>
          <w:bCs/>
          <w:sz w:val="24"/>
          <w:szCs w:val="24"/>
        </w:rPr>
        <w:fldChar w:fldCharType="separate"/>
      </w:r>
      <w:r w:rsidRPr="005F0247">
        <w:rPr>
          <w:rFonts w:ascii="Calibri" w:eastAsia="DengXian" w:hAnsi="Calibri" w:cs="Calibri"/>
          <w:b/>
          <w:bCs/>
          <w:noProof/>
          <w:sz w:val="24"/>
          <w:szCs w:val="24"/>
        </w:rPr>
        <w:t>1</w:t>
      </w:r>
      <w:r w:rsidRPr="005F0247">
        <w:rPr>
          <w:rFonts w:ascii="Calibri" w:eastAsia="DengXian" w:hAnsi="Calibri" w:cs="Calibri"/>
          <w:b/>
          <w:bCs/>
          <w:sz w:val="24"/>
          <w:szCs w:val="24"/>
        </w:rPr>
        <w:fldChar w:fldCharType="end"/>
      </w:r>
      <w:r w:rsidRPr="005F0247">
        <w:rPr>
          <w:rFonts w:ascii="Calibri" w:eastAsia="DengXian" w:hAnsi="Calibri" w:cs="Calibri"/>
          <w:b/>
          <w:bCs/>
          <w:sz w:val="24"/>
          <w:szCs w:val="24"/>
        </w:rPr>
        <w:t>:</w:t>
      </w:r>
      <w:r w:rsidRPr="005F0247">
        <w:rPr>
          <w:rFonts w:ascii="Calibri" w:eastAsia="DengXian" w:hAnsi="Calibri" w:cs="Calibri"/>
          <w:sz w:val="24"/>
          <w:szCs w:val="24"/>
        </w:rPr>
        <w:t xml:space="preserve"> The average Faradaic efficiency, oxalic acid conversion, percentage yields and current densities for electrochemical reduction of oxalic acid on titanium electrodes for 2 hours at 25 °C.</w:t>
      </w:r>
    </w:p>
    <w:tbl>
      <w:tblPr>
        <w:tblStyle w:val="TableGrid"/>
        <w:tblpPr w:leftFromText="180" w:rightFromText="180" w:vertAnchor="text" w:horzAnchor="margin" w:tblpY="244"/>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86"/>
        <w:gridCol w:w="1284"/>
        <w:gridCol w:w="1281"/>
        <w:gridCol w:w="1325"/>
        <w:gridCol w:w="1284"/>
        <w:gridCol w:w="1281"/>
        <w:gridCol w:w="1285"/>
      </w:tblGrid>
      <w:tr w:rsidR="005F0247" w:rsidRPr="005F0247" w14:paraId="6CA26EE7" w14:textId="77777777" w:rsidTr="0067430A">
        <w:tc>
          <w:tcPr>
            <w:tcW w:w="1288" w:type="dxa"/>
            <w:tcBorders>
              <w:top w:val="single" w:sz="12" w:space="0" w:color="auto"/>
              <w:bottom w:val="nil"/>
            </w:tcBorders>
            <w:shd w:val="clear" w:color="auto" w:fill="EEECE1"/>
          </w:tcPr>
          <w:p w14:paraId="20D1FD27" w14:textId="77777777" w:rsidR="005F0247" w:rsidRPr="005F0247" w:rsidRDefault="005F0247" w:rsidP="0003209D">
            <w:pPr>
              <w:rPr>
                <w:rFonts w:ascii="Calibri" w:eastAsia="DengXian" w:hAnsi="Calibri" w:cs="Calibri"/>
                <w:b/>
                <w:bCs/>
                <w:sz w:val="24"/>
                <w:szCs w:val="24"/>
              </w:rPr>
            </w:pPr>
            <w:r w:rsidRPr="005F0247">
              <w:rPr>
                <w:rFonts w:ascii="Calibri" w:eastAsia="DengXian" w:hAnsi="Calibri" w:cs="Calibri"/>
                <w:b/>
                <w:bCs/>
                <w:sz w:val="24"/>
                <w:szCs w:val="24"/>
              </w:rPr>
              <w:t>Potentials</w:t>
            </w:r>
          </w:p>
          <w:p w14:paraId="32E97D56"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b/>
                <w:bCs/>
                <w:sz w:val="24"/>
                <w:szCs w:val="24"/>
              </w:rPr>
              <w:t>(V vs RHE)</w:t>
            </w:r>
          </w:p>
        </w:tc>
        <w:tc>
          <w:tcPr>
            <w:tcW w:w="2576" w:type="dxa"/>
            <w:gridSpan w:val="2"/>
            <w:tcBorders>
              <w:top w:val="single" w:sz="12" w:space="0" w:color="auto"/>
              <w:bottom w:val="nil"/>
            </w:tcBorders>
            <w:shd w:val="clear" w:color="auto" w:fill="EEECE1"/>
          </w:tcPr>
          <w:p w14:paraId="427A209D" w14:textId="77777777" w:rsidR="005F0247" w:rsidRPr="005F0247" w:rsidRDefault="005F0247" w:rsidP="0003209D">
            <w:pPr>
              <w:jc w:val="center"/>
              <w:rPr>
                <w:rFonts w:ascii="Calibri" w:eastAsia="DengXian" w:hAnsi="Calibri" w:cs="Calibri"/>
                <w:noProof/>
                <w:sz w:val="24"/>
                <w:szCs w:val="24"/>
                <w:u w:val="single"/>
              </w:rPr>
            </w:pPr>
            <w:r w:rsidRPr="005F0247">
              <w:rPr>
                <w:rFonts w:ascii="Calibri" w:eastAsia="DengXian" w:hAnsi="Calibri" w:cs="Calibri"/>
                <w:b/>
                <w:bCs/>
                <w:sz w:val="24"/>
                <w:szCs w:val="24"/>
                <w:u w:val="single"/>
              </w:rPr>
              <w:t>Faraday efficiency (%)</w:t>
            </w:r>
          </w:p>
        </w:tc>
        <w:tc>
          <w:tcPr>
            <w:tcW w:w="1288" w:type="dxa"/>
            <w:tcBorders>
              <w:top w:val="single" w:sz="12" w:space="0" w:color="auto"/>
              <w:bottom w:val="nil"/>
            </w:tcBorders>
            <w:shd w:val="clear" w:color="auto" w:fill="EEECE1"/>
          </w:tcPr>
          <w:p w14:paraId="6241EEBD"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b/>
                <w:bCs/>
                <w:sz w:val="24"/>
                <w:szCs w:val="24"/>
              </w:rPr>
              <w:t>Oxalic Acid Conversion (%)</w:t>
            </w:r>
          </w:p>
        </w:tc>
        <w:tc>
          <w:tcPr>
            <w:tcW w:w="2576" w:type="dxa"/>
            <w:gridSpan w:val="2"/>
            <w:tcBorders>
              <w:top w:val="single" w:sz="12" w:space="0" w:color="auto"/>
              <w:bottom w:val="nil"/>
            </w:tcBorders>
            <w:shd w:val="clear" w:color="auto" w:fill="EEECE1"/>
          </w:tcPr>
          <w:p w14:paraId="1670C259" w14:textId="77777777" w:rsidR="005F0247" w:rsidRPr="005F0247" w:rsidRDefault="005F0247" w:rsidP="0003209D">
            <w:pPr>
              <w:jc w:val="center"/>
              <w:rPr>
                <w:rFonts w:ascii="Calibri" w:eastAsia="DengXian" w:hAnsi="Calibri" w:cs="Calibri"/>
                <w:noProof/>
                <w:sz w:val="24"/>
                <w:szCs w:val="24"/>
                <w:u w:val="single"/>
              </w:rPr>
            </w:pPr>
            <w:r w:rsidRPr="005F0247">
              <w:rPr>
                <w:rFonts w:ascii="Calibri" w:eastAsia="DengXian" w:hAnsi="Calibri" w:cs="Calibri"/>
                <w:b/>
                <w:bCs/>
                <w:sz w:val="24"/>
                <w:szCs w:val="24"/>
                <w:u w:val="single"/>
              </w:rPr>
              <w:t>Yield (%)</w:t>
            </w:r>
          </w:p>
        </w:tc>
        <w:tc>
          <w:tcPr>
            <w:tcW w:w="1288" w:type="dxa"/>
            <w:vMerge w:val="restart"/>
            <w:tcBorders>
              <w:top w:val="single" w:sz="12" w:space="0" w:color="auto"/>
              <w:bottom w:val="nil"/>
            </w:tcBorders>
            <w:shd w:val="clear" w:color="auto" w:fill="EEECE1"/>
          </w:tcPr>
          <w:p w14:paraId="7EDC8334"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b/>
                <w:bCs/>
                <w:sz w:val="24"/>
                <w:szCs w:val="24"/>
              </w:rPr>
              <w:t>Current Density (mA/cm</w:t>
            </w:r>
            <w:r w:rsidRPr="005F0247">
              <w:rPr>
                <w:rFonts w:ascii="Calibri" w:eastAsia="DengXian" w:hAnsi="Calibri" w:cs="Calibri"/>
                <w:b/>
                <w:bCs/>
                <w:sz w:val="24"/>
                <w:szCs w:val="24"/>
                <w:vertAlign w:val="superscript"/>
              </w:rPr>
              <w:t>2</w:t>
            </w:r>
            <w:r w:rsidRPr="005F0247">
              <w:rPr>
                <w:rFonts w:ascii="Calibri" w:eastAsia="DengXian" w:hAnsi="Calibri" w:cs="Calibri"/>
                <w:b/>
                <w:bCs/>
                <w:sz w:val="24"/>
                <w:szCs w:val="24"/>
              </w:rPr>
              <w:t>)</w:t>
            </w:r>
          </w:p>
        </w:tc>
      </w:tr>
      <w:tr w:rsidR="005F0247" w:rsidRPr="005F0247" w14:paraId="1C884EF3" w14:textId="77777777" w:rsidTr="0067430A">
        <w:tc>
          <w:tcPr>
            <w:tcW w:w="1288" w:type="dxa"/>
            <w:tcBorders>
              <w:top w:val="nil"/>
              <w:bottom w:val="single" w:sz="8" w:space="0" w:color="auto"/>
            </w:tcBorders>
            <w:shd w:val="clear" w:color="auto" w:fill="EEECE1"/>
          </w:tcPr>
          <w:p w14:paraId="2E858E6D" w14:textId="77777777" w:rsidR="005F0247" w:rsidRPr="005F0247" w:rsidRDefault="005F0247" w:rsidP="0003209D">
            <w:pPr>
              <w:jc w:val="center"/>
              <w:rPr>
                <w:rFonts w:ascii="Calibri" w:eastAsia="DengXian" w:hAnsi="Calibri" w:cs="Calibri"/>
                <w:noProof/>
                <w:sz w:val="24"/>
                <w:szCs w:val="24"/>
              </w:rPr>
            </w:pPr>
          </w:p>
        </w:tc>
        <w:tc>
          <w:tcPr>
            <w:tcW w:w="1288" w:type="dxa"/>
            <w:tcBorders>
              <w:top w:val="nil"/>
              <w:bottom w:val="single" w:sz="8" w:space="0" w:color="auto"/>
              <w:right w:val="single" w:sz="12" w:space="0" w:color="auto"/>
            </w:tcBorders>
            <w:shd w:val="clear" w:color="auto" w:fill="EEECE1"/>
          </w:tcPr>
          <w:p w14:paraId="54B5C4D6"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b/>
                <w:bCs/>
                <w:sz w:val="24"/>
                <w:szCs w:val="24"/>
              </w:rPr>
              <w:t>Glyoxylic acid</w:t>
            </w:r>
          </w:p>
        </w:tc>
        <w:tc>
          <w:tcPr>
            <w:tcW w:w="1288" w:type="dxa"/>
            <w:tcBorders>
              <w:top w:val="nil"/>
              <w:left w:val="single" w:sz="12" w:space="0" w:color="auto"/>
              <w:bottom w:val="single" w:sz="8" w:space="0" w:color="auto"/>
            </w:tcBorders>
            <w:shd w:val="clear" w:color="auto" w:fill="EEECE1"/>
          </w:tcPr>
          <w:p w14:paraId="5C4D2C64"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b/>
                <w:bCs/>
                <w:sz w:val="24"/>
                <w:szCs w:val="24"/>
              </w:rPr>
              <w:t>Glycolic acid</w:t>
            </w:r>
          </w:p>
        </w:tc>
        <w:tc>
          <w:tcPr>
            <w:tcW w:w="1288" w:type="dxa"/>
            <w:tcBorders>
              <w:top w:val="nil"/>
              <w:bottom w:val="single" w:sz="8" w:space="0" w:color="auto"/>
            </w:tcBorders>
            <w:shd w:val="clear" w:color="auto" w:fill="EEECE1"/>
          </w:tcPr>
          <w:p w14:paraId="17ACF2B0" w14:textId="77777777" w:rsidR="005F0247" w:rsidRPr="005F0247" w:rsidRDefault="005F0247" w:rsidP="0003209D">
            <w:pPr>
              <w:jc w:val="center"/>
              <w:rPr>
                <w:rFonts w:ascii="Calibri" w:eastAsia="DengXian" w:hAnsi="Calibri" w:cs="Calibri"/>
                <w:noProof/>
                <w:sz w:val="24"/>
                <w:szCs w:val="24"/>
              </w:rPr>
            </w:pPr>
          </w:p>
        </w:tc>
        <w:tc>
          <w:tcPr>
            <w:tcW w:w="1288" w:type="dxa"/>
            <w:tcBorders>
              <w:top w:val="nil"/>
              <w:bottom w:val="single" w:sz="8" w:space="0" w:color="auto"/>
              <w:right w:val="single" w:sz="12" w:space="0" w:color="auto"/>
            </w:tcBorders>
            <w:shd w:val="clear" w:color="auto" w:fill="EEECE1"/>
          </w:tcPr>
          <w:p w14:paraId="60E7152A"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b/>
                <w:bCs/>
                <w:sz w:val="24"/>
                <w:szCs w:val="24"/>
              </w:rPr>
              <w:t>Glyoxylic acid</w:t>
            </w:r>
          </w:p>
        </w:tc>
        <w:tc>
          <w:tcPr>
            <w:tcW w:w="1288" w:type="dxa"/>
            <w:tcBorders>
              <w:top w:val="nil"/>
              <w:left w:val="single" w:sz="12" w:space="0" w:color="auto"/>
              <w:bottom w:val="single" w:sz="8" w:space="0" w:color="auto"/>
            </w:tcBorders>
            <w:shd w:val="clear" w:color="auto" w:fill="EEECE1"/>
          </w:tcPr>
          <w:p w14:paraId="1C23D430"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b/>
                <w:bCs/>
                <w:sz w:val="24"/>
                <w:szCs w:val="24"/>
              </w:rPr>
              <w:t>Glycolic acid</w:t>
            </w:r>
          </w:p>
        </w:tc>
        <w:tc>
          <w:tcPr>
            <w:tcW w:w="1288" w:type="dxa"/>
            <w:vMerge/>
            <w:tcBorders>
              <w:top w:val="nil"/>
              <w:bottom w:val="single" w:sz="8" w:space="0" w:color="auto"/>
            </w:tcBorders>
            <w:shd w:val="clear" w:color="auto" w:fill="EEECE1"/>
          </w:tcPr>
          <w:p w14:paraId="258FE671" w14:textId="77777777" w:rsidR="005F0247" w:rsidRPr="005F0247" w:rsidRDefault="005F0247" w:rsidP="0003209D">
            <w:pPr>
              <w:jc w:val="center"/>
              <w:rPr>
                <w:rFonts w:ascii="Calibri" w:eastAsia="DengXian" w:hAnsi="Calibri" w:cs="Calibri"/>
                <w:noProof/>
                <w:sz w:val="24"/>
                <w:szCs w:val="24"/>
              </w:rPr>
            </w:pPr>
          </w:p>
        </w:tc>
      </w:tr>
      <w:tr w:rsidR="005F0247" w:rsidRPr="005F0247" w14:paraId="23E6A33F" w14:textId="77777777" w:rsidTr="0067430A">
        <w:tc>
          <w:tcPr>
            <w:tcW w:w="1288" w:type="dxa"/>
            <w:tcBorders>
              <w:top w:val="single" w:sz="8" w:space="0" w:color="auto"/>
              <w:bottom w:val="nil"/>
            </w:tcBorders>
          </w:tcPr>
          <w:p w14:paraId="34498836"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−0.5</w:t>
            </w:r>
          </w:p>
        </w:tc>
        <w:tc>
          <w:tcPr>
            <w:tcW w:w="1288" w:type="dxa"/>
            <w:tcBorders>
              <w:top w:val="single" w:sz="8" w:space="0" w:color="auto"/>
              <w:bottom w:val="nil"/>
            </w:tcBorders>
            <w:shd w:val="clear" w:color="auto" w:fill="auto"/>
          </w:tcPr>
          <w:p w14:paraId="03FB417C"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47.0</w:t>
            </w:r>
          </w:p>
        </w:tc>
        <w:tc>
          <w:tcPr>
            <w:tcW w:w="1288" w:type="dxa"/>
            <w:tcBorders>
              <w:top w:val="single" w:sz="8" w:space="0" w:color="auto"/>
              <w:bottom w:val="nil"/>
            </w:tcBorders>
            <w:shd w:val="clear" w:color="auto" w:fill="auto"/>
          </w:tcPr>
          <w:p w14:paraId="590BD88F"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38.0</w:t>
            </w:r>
          </w:p>
        </w:tc>
        <w:tc>
          <w:tcPr>
            <w:tcW w:w="1288" w:type="dxa"/>
            <w:tcBorders>
              <w:top w:val="single" w:sz="8" w:space="0" w:color="auto"/>
              <w:bottom w:val="nil"/>
            </w:tcBorders>
          </w:tcPr>
          <w:p w14:paraId="367FCDBA"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31.0</w:t>
            </w:r>
          </w:p>
        </w:tc>
        <w:tc>
          <w:tcPr>
            <w:tcW w:w="1288" w:type="dxa"/>
            <w:tcBorders>
              <w:top w:val="single" w:sz="8" w:space="0" w:color="auto"/>
              <w:bottom w:val="nil"/>
            </w:tcBorders>
          </w:tcPr>
          <w:p w14:paraId="60042200"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20.5</w:t>
            </w:r>
          </w:p>
        </w:tc>
        <w:tc>
          <w:tcPr>
            <w:tcW w:w="1288" w:type="dxa"/>
            <w:tcBorders>
              <w:top w:val="single" w:sz="8" w:space="0" w:color="auto"/>
              <w:bottom w:val="nil"/>
            </w:tcBorders>
          </w:tcPr>
          <w:p w14:paraId="19993424"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8.3</w:t>
            </w:r>
          </w:p>
        </w:tc>
        <w:tc>
          <w:tcPr>
            <w:tcW w:w="1288" w:type="dxa"/>
            <w:tcBorders>
              <w:top w:val="single" w:sz="8" w:space="0" w:color="auto"/>
              <w:bottom w:val="nil"/>
            </w:tcBorders>
          </w:tcPr>
          <w:p w14:paraId="25721043"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−3.5</w:t>
            </w:r>
          </w:p>
        </w:tc>
      </w:tr>
      <w:tr w:rsidR="005F0247" w:rsidRPr="005F0247" w14:paraId="5E24070B" w14:textId="77777777" w:rsidTr="0067430A">
        <w:tc>
          <w:tcPr>
            <w:tcW w:w="1288" w:type="dxa"/>
            <w:tcBorders>
              <w:top w:val="nil"/>
            </w:tcBorders>
          </w:tcPr>
          <w:p w14:paraId="6211779C"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−0.6</w:t>
            </w:r>
          </w:p>
        </w:tc>
        <w:tc>
          <w:tcPr>
            <w:tcW w:w="1288" w:type="dxa"/>
            <w:tcBorders>
              <w:top w:val="nil"/>
            </w:tcBorders>
            <w:shd w:val="clear" w:color="auto" w:fill="auto"/>
          </w:tcPr>
          <w:p w14:paraId="53267FB3"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43.0</w:t>
            </w:r>
          </w:p>
        </w:tc>
        <w:tc>
          <w:tcPr>
            <w:tcW w:w="1288" w:type="dxa"/>
            <w:tcBorders>
              <w:top w:val="nil"/>
            </w:tcBorders>
            <w:shd w:val="clear" w:color="auto" w:fill="auto"/>
          </w:tcPr>
          <w:p w14:paraId="06FDE2AD"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32.8</w:t>
            </w:r>
          </w:p>
        </w:tc>
        <w:tc>
          <w:tcPr>
            <w:tcW w:w="1288" w:type="dxa"/>
            <w:tcBorders>
              <w:top w:val="nil"/>
            </w:tcBorders>
          </w:tcPr>
          <w:p w14:paraId="54EDC8DC"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38.4</w:t>
            </w:r>
          </w:p>
        </w:tc>
        <w:tc>
          <w:tcPr>
            <w:tcW w:w="1288" w:type="dxa"/>
            <w:tcBorders>
              <w:top w:val="nil"/>
            </w:tcBorders>
          </w:tcPr>
          <w:p w14:paraId="413F7ABC"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27.3</w:t>
            </w:r>
          </w:p>
        </w:tc>
        <w:tc>
          <w:tcPr>
            <w:tcW w:w="1288" w:type="dxa"/>
            <w:tcBorders>
              <w:top w:val="nil"/>
            </w:tcBorders>
          </w:tcPr>
          <w:p w14:paraId="3B545DD5"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10.5</w:t>
            </w:r>
          </w:p>
        </w:tc>
        <w:tc>
          <w:tcPr>
            <w:tcW w:w="1288" w:type="dxa"/>
            <w:tcBorders>
              <w:top w:val="nil"/>
            </w:tcBorders>
          </w:tcPr>
          <w:p w14:paraId="2EA07E8F"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−5.1</w:t>
            </w:r>
          </w:p>
        </w:tc>
      </w:tr>
      <w:tr w:rsidR="005F0247" w:rsidRPr="005F0247" w14:paraId="3EEB16A9" w14:textId="77777777" w:rsidTr="0067430A">
        <w:tc>
          <w:tcPr>
            <w:tcW w:w="1288" w:type="dxa"/>
          </w:tcPr>
          <w:p w14:paraId="272F1BB2"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−0.7</w:t>
            </w:r>
          </w:p>
        </w:tc>
        <w:tc>
          <w:tcPr>
            <w:tcW w:w="1288" w:type="dxa"/>
            <w:shd w:val="clear" w:color="auto" w:fill="auto"/>
          </w:tcPr>
          <w:p w14:paraId="55464851"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23.6</w:t>
            </w:r>
          </w:p>
        </w:tc>
        <w:tc>
          <w:tcPr>
            <w:tcW w:w="1288" w:type="dxa"/>
            <w:shd w:val="clear" w:color="auto" w:fill="auto"/>
          </w:tcPr>
          <w:p w14:paraId="04511E4D"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noProof/>
                <w:sz w:val="24"/>
                <w:szCs w:val="24"/>
              </w:rPr>
              <w:t>19.2</w:t>
            </w:r>
          </w:p>
        </w:tc>
        <w:tc>
          <w:tcPr>
            <w:tcW w:w="1288" w:type="dxa"/>
          </w:tcPr>
          <w:p w14:paraId="37041F67"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34.2</w:t>
            </w:r>
          </w:p>
        </w:tc>
        <w:tc>
          <w:tcPr>
            <w:tcW w:w="1288" w:type="dxa"/>
          </w:tcPr>
          <w:p w14:paraId="34358B6F"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22.3</w:t>
            </w:r>
          </w:p>
        </w:tc>
        <w:tc>
          <w:tcPr>
            <w:tcW w:w="1288" w:type="dxa"/>
          </w:tcPr>
          <w:p w14:paraId="0532F313"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9.1</w:t>
            </w:r>
          </w:p>
        </w:tc>
        <w:tc>
          <w:tcPr>
            <w:tcW w:w="1288" w:type="dxa"/>
          </w:tcPr>
          <w:p w14:paraId="0EA3D9E6" w14:textId="77777777" w:rsidR="005F0247" w:rsidRPr="005F0247" w:rsidRDefault="005F0247" w:rsidP="0003209D">
            <w:pPr>
              <w:jc w:val="center"/>
              <w:rPr>
                <w:rFonts w:ascii="Calibri" w:eastAsia="DengXian" w:hAnsi="Calibri" w:cs="Calibri"/>
                <w:noProof/>
                <w:sz w:val="24"/>
                <w:szCs w:val="24"/>
              </w:rPr>
            </w:pPr>
            <w:r w:rsidRPr="005F0247">
              <w:rPr>
                <w:rFonts w:ascii="Calibri" w:eastAsia="DengXian" w:hAnsi="Calibri" w:cs="Calibri"/>
                <w:sz w:val="24"/>
                <w:szCs w:val="24"/>
              </w:rPr>
              <w:t>−7.6</w:t>
            </w:r>
          </w:p>
        </w:tc>
      </w:tr>
    </w:tbl>
    <w:p w14:paraId="3F3E9737" w14:textId="77777777" w:rsidR="00E36713" w:rsidRDefault="00E36713" w:rsidP="00623EFF">
      <w:pPr>
        <w:spacing w:line="360" w:lineRule="auto"/>
        <w:jc w:val="both"/>
        <w:rPr>
          <w:rFonts w:ascii="Calibri" w:eastAsia="DengXian" w:hAnsi="Calibri" w:cs="Calibri"/>
          <w:b/>
          <w:bCs/>
          <w:sz w:val="24"/>
          <w:szCs w:val="24"/>
          <w:highlight w:val="yellow"/>
        </w:rPr>
      </w:pPr>
    </w:p>
    <w:p w14:paraId="3106FB39" w14:textId="77777777" w:rsidR="00D90D1A" w:rsidRDefault="00D90D1A">
      <w:pPr>
        <w:rPr>
          <w:rFonts w:ascii="Calibri" w:eastAsia="DengXian" w:hAnsi="Calibri" w:cs="Calibri"/>
          <w:b/>
          <w:bCs/>
          <w:sz w:val="24"/>
          <w:szCs w:val="24"/>
          <w:highlight w:val="yellow"/>
        </w:rPr>
      </w:pPr>
      <w:r>
        <w:rPr>
          <w:rFonts w:ascii="Calibri" w:eastAsia="DengXian" w:hAnsi="Calibri" w:cs="Calibri"/>
          <w:b/>
          <w:bCs/>
          <w:sz w:val="24"/>
          <w:szCs w:val="24"/>
          <w:highlight w:val="yellow"/>
        </w:rPr>
        <w:br w:type="page"/>
      </w:r>
    </w:p>
    <w:p w14:paraId="1886437C" w14:textId="5AEF7FCE" w:rsidR="00E36713" w:rsidRPr="00E615B2" w:rsidRDefault="00E36713" w:rsidP="00623EFF">
      <w:pPr>
        <w:spacing w:line="360" w:lineRule="auto"/>
        <w:jc w:val="both"/>
        <w:rPr>
          <w:rFonts w:ascii="Calibri" w:eastAsia="DengXian" w:hAnsi="Calibri" w:cs="Calibri"/>
          <w:b/>
          <w:bCs/>
          <w:sz w:val="24"/>
          <w:szCs w:val="24"/>
        </w:rPr>
      </w:pPr>
      <w:r w:rsidRPr="00E615B2">
        <w:rPr>
          <w:rFonts w:ascii="Calibri" w:eastAsia="DengXian" w:hAnsi="Calibri" w:cs="Calibri"/>
          <w:b/>
          <w:bCs/>
          <w:sz w:val="24"/>
          <w:szCs w:val="24"/>
        </w:rPr>
        <w:lastRenderedPageBreak/>
        <w:t xml:space="preserve">Bulk electrolysis for 12 h </w:t>
      </w:r>
    </w:p>
    <w:p w14:paraId="3ED3A1FE" w14:textId="061E3607" w:rsidR="00623EFF" w:rsidRPr="00E615B2" w:rsidRDefault="0003209D" w:rsidP="00623EFF">
      <w:pPr>
        <w:spacing w:line="360" w:lineRule="auto"/>
        <w:jc w:val="both"/>
        <w:rPr>
          <w:rFonts w:ascii="Calibri" w:eastAsia="DengXian" w:hAnsi="Calibri" w:cs="Calibri"/>
          <w:bCs/>
          <w:sz w:val="24"/>
          <w:szCs w:val="24"/>
        </w:rPr>
      </w:pPr>
      <w:r w:rsidRPr="00E615B2">
        <w:rPr>
          <w:rFonts w:ascii="Calibri" w:eastAsia="DengXian" w:hAnsi="Calibri" w:cs="Calibri"/>
          <w:bCs/>
          <w:sz w:val="24"/>
          <w:szCs w:val="24"/>
        </w:rPr>
        <w:t xml:space="preserve">A potential of </w:t>
      </w:r>
      <w:r w:rsidR="00623EFF" w:rsidRPr="00E615B2">
        <w:rPr>
          <w:rFonts w:ascii="Calibri" w:eastAsia="DengXian" w:hAnsi="Calibri" w:cs="Calibri"/>
          <w:bCs/>
          <w:sz w:val="24"/>
          <w:szCs w:val="24"/>
        </w:rPr>
        <w:t xml:space="preserve">−0.6 V </w:t>
      </w:r>
      <w:r w:rsidR="00623EFF" w:rsidRPr="00E615B2">
        <w:rPr>
          <w:rFonts w:ascii="Calibri" w:eastAsia="DengXian" w:hAnsi="Calibri" w:cs="Calibri"/>
          <w:bCs/>
          <w:i/>
          <w:iCs/>
          <w:sz w:val="24"/>
          <w:szCs w:val="24"/>
        </w:rPr>
        <w:t>vs</w:t>
      </w:r>
      <w:r w:rsidR="00623EFF" w:rsidRPr="00E615B2">
        <w:rPr>
          <w:rFonts w:ascii="Calibri" w:eastAsia="DengXian" w:hAnsi="Calibri" w:cs="Calibri"/>
          <w:bCs/>
          <w:sz w:val="24"/>
          <w:szCs w:val="24"/>
        </w:rPr>
        <w:t xml:space="preserve"> RHE was applied in long-term oxalic acid conversion</w:t>
      </w:r>
      <w:r w:rsidRPr="00E615B2">
        <w:rPr>
          <w:rFonts w:ascii="Calibri" w:eastAsia="DengXian" w:hAnsi="Calibri" w:cs="Calibri"/>
          <w:bCs/>
          <w:sz w:val="24"/>
          <w:szCs w:val="24"/>
        </w:rPr>
        <w:t>.</w:t>
      </w:r>
      <w:r w:rsidR="00623EFF" w:rsidRPr="00E615B2">
        <w:rPr>
          <w:rFonts w:ascii="Calibri" w:eastAsia="DengXian" w:hAnsi="Calibri" w:cs="Calibri"/>
          <w:bCs/>
          <w:sz w:val="24"/>
          <w:szCs w:val="24"/>
        </w:rPr>
        <w:t xml:space="preserve"> The current density, percentage conversion of oxalic acid, and product yields are depicted in Figure S</w:t>
      </w:r>
      <w:r w:rsidR="00362ACD" w:rsidRPr="00E615B2">
        <w:rPr>
          <w:rFonts w:ascii="Calibri" w:eastAsia="DengXian" w:hAnsi="Calibri" w:cs="Calibri"/>
          <w:bCs/>
          <w:sz w:val="24"/>
          <w:szCs w:val="24"/>
        </w:rPr>
        <w:t>4</w:t>
      </w:r>
      <w:r w:rsidR="00623EFF" w:rsidRPr="00E615B2">
        <w:rPr>
          <w:rFonts w:ascii="Calibri" w:eastAsia="DengXian" w:hAnsi="Calibri" w:cs="Calibri"/>
          <w:bCs/>
          <w:sz w:val="24"/>
          <w:szCs w:val="24"/>
        </w:rPr>
        <w:t>. A 91% conversion of the oxalic acid was achieved (Figure S</w:t>
      </w:r>
      <w:r w:rsidR="00362ACD" w:rsidRPr="00E615B2">
        <w:rPr>
          <w:rFonts w:ascii="Calibri" w:eastAsia="DengXian" w:hAnsi="Calibri" w:cs="Calibri"/>
          <w:bCs/>
          <w:sz w:val="24"/>
          <w:szCs w:val="24"/>
        </w:rPr>
        <w:t>4</w:t>
      </w:r>
      <w:r w:rsidR="00623EFF" w:rsidRPr="00E615B2">
        <w:rPr>
          <w:rFonts w:ascii="Calibri" w:eastAsia="DengXian" w:hAnsi="Calibri" w:cs="Calibri"/>
          <w:bCs/>
          <w:sz w:val="24"/>
          <w:szCs w:val="24"/>
        </w:rPr>
        <w:t>b, red line). Evaluation of the product yields showed that glyoxylic acid was the major product in the early hours of the experiment (Figure S</w:t>
      </w:r>
      <w:r w:rsidR="00362ACD" w:rsidRPr="00E615B2">
        <w:rPr>
          <w:rFonts w:ascii="Calibri" w:eastAsia="DengXian" w:hAnsi="Calibri" w:cs="Calibri"/>
          <w:bCs/>
          <w:sz w:val="24"/>
          <w:szCs w:val="24"/>
        </w:rPr>
        <w:t>4</w:t>
      </w:r>
      <w:r w:rsidR="00623EFF" w:rsidRPr="00E615B2">
        <w:rPr>
          <w:rFonts w:ascii="Calibri" w:eastAsia="DengXian" w:hAnsi="Calibri" w:cs="Calibri"/>
          <w:bCs/>
          <w:sz w:val="24"/>
          <w:szCs w:val="24"/>
        </w:rPr>
        <w:t>b, green line). However, the concentration of the glyoxylic acid tended to decrease after 6 h of the experiment, while that of glycolic acid increased, with glycolic acid being the major product towards the end of the experiment (Figure S</w:t>
      </w:r>
      <w:r w:rsidR="00362ACD" w:rsidRPr="00E615B2">
        <w:rPr>
          <w:rFonts w:ascii="Calibri" w:eastAsia="DengXian" w:hAnsi="Calibri" w:cs="Calibri"/>
          <w:bCs/>
          <w:sz w:val="24"/>
          <w:szCs w:val="24"/>
        </w:rPr>
        <w:t>4</w:t>
      </w:r>
      <w:r w:rsidR="00623EFF" w:rsidRPr="00E615B2">
        <w:rPr>
          <w:rFonts w:ascii="Calibri" w:eastAsia="DengXian" w:hAnsi="Calibri" w:cs="Calibri"/>
          <w:bCs/>
          <w:sz w:val="24"/>
          <w:szCs w:val="24"/>
        </w:rPr>
        <w:t>b, blue line). This is because some of the glyoxylic acid produced is converted to glycolic acid, thereby decreasing its concentration. A similar trend was observed even at a lower applied potential of −0.5 V RHE, albeit with an overall lesser percentage conversion of oxalic acid and product yield, as illustrated in Figure S</w:t>
      </w:r>
      <w:r w:rsidR="00362ACD" w:rsidRPr="00E615B2">
        <w:rPr>
          <w:rFonts w:ascii="Calibri" w:eastAsia="DengXian" w:hAnsi="Calibri" w:cs="Calibri"/>
          <w:bCs/>
          <w:sz w:val="24"/>
          <w:szCs w:val="24"/>
        </w:rPr>
        <w:t>5</w:t>
      </w:r>
      <w:r w:rsidR="00623EFF" w:rsidRPr="00E615B2">
        <w:rPr>
          <w:rFonts w:ascii="Calibri" w:eastAsia="DengXian" w:hAnsi="Calibri" w:cs="Calibri"/>
          <w:bCs/>
          <w:sz w:val="24"/>
          <w:szCs w:val="24"/>
        </w:rPr>
        <w:t>.</w:t>
      </w:r>
    </w:p>
    <w:p w14:paraId="162CCB3B" w14:textId="525FD547" w:rsidR="00623EFF" w:rsidRPr="00E615B2" w:rsidRDefault="00623EFF" w:rsidP="005F0247">
      <w:pPr>
        <w:rPr>
          <w:rFonts w:ascii="Calibri" w:eastAsia="DengXian" w:hAnsi="Calibri" w:cs="Calibri"/>
          <w:noProof/>
        </w:rPr>
      </w:pPr>
      <w:r w:rsidRPr="00E615B2">
        <w:rPr>
          <w:rFonts w:ascii="Calibri" w:eastAsia="DengXian" w:hAnsi="Calibri" w:cs="Calibri"/>
          <w:noProof/>
        </w:rPr>
        <w:drawing>
          <wp:inline distT="0" distB="0" distL="0" distR="0" wp14:anchorId="4185E47A" wp14:editId="5573DDE3">
            <wp:extent cx="5731510" cy="2332990"/>
            <wp:effectExtent l="0" t="0" r="2540" b="0"/>
            <wp:docPr id="1055568428" name="Picture 1" descr="A graph of oxalate acid conver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68428" name="Picture 1" descr="A graph of oxalate acid conversion&#10;&#10;Description automatically generated"/>
                    <pic:cNvPicPr/>
                  </pic:nvPicPr>
                  <pic:blipFill>
                    <a:blip r:embed="rId10"/>
                    <a:stretch>
                      <a:fillRect/>
                    </a:stretch>
                  </pic:blipFill>
                  <pic:spPr>
                    <a:xfrm>
                      <a:off x="0" y="0"/>
                      <a:ext cx="5731510" cy="2332990"/>
                    </a:xfrm>
                    <a:prstGeom prst="rect">
                      <a:avLst/>
                    </a:prstGeom>
                  </pic:spPr>
                </pic:pic>
              </a:graphicData>
            </a:graphic>
          </wp:inline>
        </w:drawing>
      </w:r>
    </w:p>
    <w:p w14:paraId="4EC0FE43" w14:textId="1A840BD7" w:rsidR="00623EFF" w:rsidRDefault="00623EFF" w:rsidP="00623EFF">
      <w:pPr>
        <w:spacing w:after="200" w:line="276" w:lineRule="auto"/>
        <w:jc w:val="both"/>
        <w:rPr>
          <w:rFonts w:ascii="Calibri" w:eastAsia="Calibri" w:hAnsi="Calibri" w:cs="Calibri"/>
          <w:sz w:val="24"/>
          <w:szCs w:val="24"/>
          <w:shd w:val="clear" w:color="auto" w:fill="FFFFFF"/>
          <w:lang w:eastAsia="en-US"/>
        </w:rPr>
      </w:pPr>
      <w:r w:rsidRPr="00E615B2">
        <w:rPr>
          <w:rFonts w:ascii="Calibri" w:eastAsia="DengXian" w:hAnsi="Calibri" w:cs="Calibri"/>
          <w:b/>
          <w:bCs/>
          <w:sz w:val="24"/>
          <w:szCs w:val="24"/>
        </w:rPr>
        <w:t>Figure S</w:t>
      </w:r>
      <w:r w:rsidR="00362ACD" w:rsidRPr="00E615B2">
        <w:rPr>
          <w:rFonts w:ascii="Calibri" w:eastAsia="DengXian" w:hAnsi="Calibri" w:cs="Calibri"/>
          <w:b/>
          <w:bCs/>
          <w:sz w:val="24"/>
          <w:szCs w:val="24"/>
        </w:rPr>
        <w:t>4</w:t>
      </w:r>
      <w:r w:rsidRPr="00E615B2">
        <w:rPr>
          <w:rFonts w:ascii="Calibri" w:eastAsia="DengXian" w:hAnsi="Calibri" w:cs="Calibri"/>
          <w:b/>
          <w:bCs/>
          <w:sz w:val="24"/>
          <w:szCs w:val="24"/>
        </w:rPr>
        <w:t>:</w:t>
      </w:r>
      <w:r w:rsidRPr="00E615B2">
        <w:rPr>
          <w:rFonts w:ascii="Calibri" w:eastAsia="DengXian" w:hAnsi="Calibri" w:cs="Calibri"/>
          <w:sz w:val="24"/>
          <w:szCs w:val="24"/>
        </w:rPr>
        <w:t xml:space="preserve"> </w:t>
      </w:r>
      <w:r w:rsidRPr="00E615B2">
        <w:rPr>
          <w:rFonts w:ascii="Calibri" w:eastAsia="DengXian" w:hAnsi="Calibri" w:cs="Calibri"/>
          <w:sz w:val="24"/>
          <w:szCs w:val="24"/>
          <w:shd w:val="clear" w:color="auto" w:fill="FFFFFF"/>
        </w:rPr>
        <w:t>(a) Current density showing a long-term oxalic acid conversion</w:t>
      </w:r>
      <w:r w:rsidR="0003209D" w:rsidRPr="00E615B2">
        <w:rPr>
          <w:rFonts w:ascii="Calibri" w:eastAsia="DengXian" w:hAnsi="Calibri" w:cs="Calibri"/>
          <w:sz w:val="24"/>
          <w:szCs w:val="24"/>
          <w:shd w:val="clear" w:color="auto" w:fill="FFFFFF"/>
        </w:rPr>
        <w:t xml:space="preserve"> at </w:t>
      </w:r>
      <w:r w:rsidR="0003209D" w:rsidRPr="00E615B2">
        <w:rPr>
          <w:rFonts w:ascii="Calibri" w:eastAsia="DengXian" w:hAnsi="Calibri" w:cs="Calibri"/>
          <w:bCs/>
          <w:sz w:val="24"/>
          <w:szCs w:val="24"/>
        </w:rPr>
        <w:t xml:space="preserve">−0.6 V </w:t>
      </w:r>
      <w:r w:rsidR="0003209D" w:rsidRPr="00E615B2">
        <w:rPr>
          <w:rFonts w:ascii="Calibri" w:eastAsia="DengXian" w:hAnsi="Calibri" w:cs="Calibri"/>
          <w:bCs/>
          <w:i/>
          <w:iCs/>
          <w:sz w:val="24"/>
          <w:szCs w:val="24"/>
        </w:rPr>
        <w:t>vs</w:t>
      </w:r>
      <w:r w:rsidR="0003209D" w:rsidRPr="00E615B2">
        <w:rPr>
          <w:rFonts w:ascii="Calibri" w:eastAsia="DengXian" w:hAnsi="Calibri" w:cs="Calibri"/>
          <w:bCs/>
          <w:sz w:val="24"/>
          <w:szCs w:val="24"/>
        </w:rPr>
        <w:t xml:space="preserve"> RHE</w:t>
      </w:r>
      <w:r w:rsidRPr="00E615B2">
        <w:rPr>
          <w:rFonts w:ascii="Calibri" w:eastAsia="DengXian" w:hAnsi="Calibri" w:cs="Calibri"/>
          <w:sz w:val="24"/>
          <w:szCs w:val="24"/>
          <w:shd w:val="clear" w:color="auto" w:fill="FFFFFF"/>
        </w:rPr>
        <w:t xml:space="preserve">, and (b) conversion profiles of oxalic acid and product yields during electrochemical reduction for 12 h at an applied potential of −0.6 V vs RHE at </w:t>
      </w:r>
      <w:r w:rsidRPr="00E615B2">
        <w:rPr>
          <w:rFonts w:ascii="Calibri" w:eastAsia="Calibri" w:hAnsi="Calibri" w:cs="Calibri"/>
          <w:sz w:val="24"/>
          <w:szCs w:val="24"/>
          <w:shd w:val="clear" w:color="auto" w:fill="FFFFFF"/>
          <w:lang w:eastAsia="en-US"/>
        </w:rPr>
        <w:t>a temperature of 25 °C.</w:t>
      </w:r>
    </w:p>
    <w:p w14:paraId="5CE73112" w14:textId="77777777" w:rsidR="00623EFF" w:rsidRPr="00623EFF" w:rsidRDefault="00623EFF" w:rsidP="00623EFF">
      <w:pPr>
        <w:rPr>
          <w:rFonts w:ascii="Calibri" w:eastAsia="DengXian" w:hAnsi="Calibri" w:cs="Calibri"/>
        </w:rPr>
      </w:pPr>
    </w:p>
    <w:p w14:paraId="7E88520F" w14:textId="31C9461B" w:rsidR="00623EFF" w:rsidRPr="00E615B2" w:rsidRDefault="00623EFF" w:rsidP="005F0247">
      <w:pPr>
        <w:rPr>
          <w:rFonts w:ascii="Calibri" w:eastAsia="DengXian" w:hAnsi="Calibri" w:cs="Calibri"/>
          <w:noProof/>
        </w:rPr>
      </w:pPr>
      <w:r w:rsidRPr="00E615B2">
        <w:rPr>
          <w:rFonts w:ascii="Calibri" w:eastAsia="DengXian" w:hAnsi="Calibri" w:cs="Calibri"/>
          <w:i/>
          <w:iCs/>
          <w:noProof/>
          <w:sz w:val="24"/>
          <w:szCs w:val="24"/>
          <w:shd w:val="clear" w:color="auto" w:fill="FFFFFF"/>
        </w:rPr>
        <w:lastRenderedPageBreak/>
        <w:drawing>
          <wp:inline distT="0" distB="0" distL="0" distR="0" wp14:anchorId="11935872" wp14:editId="5CB4D0B3">
            <wp:extent cx="5730240" cy="2247900"/>
            <wp:effectExtent l="0" t="0" r="3810" b="0"/>
            <wp:docPr id="2035834008" name="Picture 2" descr="A graph of a graph of a variety of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34008" name="Picture 2" descr="A graph of a graph of a variety of color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2247900"/>
                    </a:xfrm>
                    <a:prstGeom prst="rect">
                      <a:avLst/>
                    </a:prstGeom>
                    <a:noFill/>
                    <a:ln>
                      <a:noFill/>
                    </a:ln>
                  </pic:spPr>
                </pic:pic>
              </a:graphicData>
            </a:graphic>
          </wp:inline>
        </w:drawing>
      </w:r>
    </w:p>
    <w:p w14:paraId="5578CD44" w14:textId="2A331002" w:rsidR="00214209" w:rsidRPr="00DB379C" w:rsidRDefault="00623EFF" w:rsidP="00623EFF">
      <w:pPr>
        <w:spacing w:after="200" w:line="276" w:lineRule="auto"/>
        <w:jc w:val="both"/>
        <w:rPr>
          <w:rFonts w:ascii="Calibri" w:eastAsia="Calibri" w:hAnsi="Calibri" w:cs="Calibri"/>
          <w:color w:val="44546A"/>
          <w:sz w:val="24"/>
          <w:szCs w:val="24"/>
          <w:shd w:val="clear" w:color="auto" w:fill="FFFFFF"/>
          <w:lang w:eastAsia="en-US"/>
        </w:rPr>
      </w:pPr>
      <w:r w:rsidRPr="00E615B2">
        <w:rPr>
          <w:rFonts w:ascii="Calibri" w:eastAsia="DengXian" w:hAnsi="Calibri" w:cs="Calibri"/>
          <w:b/>
          <w:bCs/>
          <w:sz w:val="24"/>
          <w:szCs w:val="24"/>
          <w:shd w:val="clear" w:color="auto" w:fill="FFFFFF"/>
        </w:rPr>
        <w:t>Figure S</w:t>
      </w:r>
      <w:r w:rsidR="00362ACD" w:rsidRPr="00E615B2">
        <w:rPr>
          <w:rFonts w:ascii="Calibri" w:eastAsia="DengXian" w:hAnsi="Calibri" w:cs="Calibri"/>
          <w:b/>
          <w:bCs/>
          <w:sz w:val="24"/>
          <w:szCs w:val="24"/>
          <w:shd w:val="clear" w:color="auto" w:fill="FFFFFF"/>
        </w:rPr>
        <w:t>5</w:t>
      </w:r>
      <w:r w:rsidRPr="00E615B2">
        <w:rPr>
          <w:rFonts w:ascii="Calibri" w:eastAsia="DengXian" w:hAnsi="Calibri" w:cs="Calibri"/>
          <w:b/>
          <w:bCs/>
          <w:sz w:val="24"/>
          <w:szCs w:val="24"/>
          <w:shd w:val="clear" w:color="auto" w:fill="FFFFFF"/>
        </w:rPr>
        <w:t>:</w:t>
      </w:r>
      <w:r w:rsidRPr="00E615B2">
        <w:rPr>
          <w:rFonts w:ascii="Calibri" w:eastAsia="DengXian" w:hAnsi="Calibri" w:cs="Calibri"/>
          <w:sz w:val="24"/>
          <w:szCs w:val="24"/>
          <w:shd w:val="clear" w:color="auto" w:fill="FFFFFF"/>
        </w:rPr>
        <w:t xml:space="preserve"> (a) Current density showing a long-term oxalic acid conversion</w:t>
      </w:r>
      <w:r w:rsidR="0003209D" w:rsidRPr="00E615B2">
        <w:rPr>
          <w:rFonts w:ascii="Calibri" w:eastAsia="DengXian" w:hAnsi="Calibri" w:cs="Calibri"/>
          <w:sz w:val="24"/>
          <w:szCs w:val="24"/>
          <w:shd w:val="clear" w:color="auto" w:fill="FFFFFF"/>
        </w:rPr>
        <w:t xml:space="preserve"> at </w:t>
      </w:r>
      <w:r w:rsidR="0003209D" w:rsidRPr="00E615B2">
        <w:rPr>
          <w:rFonts w:ascii="Calibri" w:eastAsia="DengXian" w:hAnsi="Calibri" w:cs="Calibri"/>
          <w:bCs/>
          <w:sz w:val="24"/>
          <w:szCs w:val="24"/>
        </w:rPr>
        <w:t xml:space="preserve">−0.5 V </w:t>
      </w:r>
      <w:r w:rsidR="0003209D" w:rsidRPr="00E615B2">
        <w:rPr>
          <w:rFonts w:ascii="Calibri" w:eastAsia="DengXian" w:hAnsi="Calibri" w:cs="Calibri"/>
          <w:bCs/>
          <w:i/>
          <w:iCs/>
          <w:sz w:val="24"/>
          <w:szCs w:val="24"/>
        </w:rPr>
        <w:t>vs</w:t>
      </w:r>
      <w:r w:rsidR="0003209D" w:rsidRPr="00E615B2">
        <w:rPr>
          <w:rFonts w:ascii="Calibri" w:eastAsia="DengXian" w:hAnsi="Calibri" w:cs="Calibri"/>
          <w:bCs/>
          <w:sz w:val="24"/>
          <w:szCs w:val="24"/>
        </w:rPr>
        <w:t xml:space="preserve"> RHE</w:t>
      </w:r>
      <w:r w:rsidRPr="00E615B2">
        <w:rPr>
          <w:rFonts w:ascii="Calibri" w:eastAsia="DengXian" w:hAnsi="Calibri" w:cs="Calibri"/>
          <w:sz w:val="24"/>
          <w:szCs w:val="24"/>
          <w:shd w:val="clear" w:color="auto" w:fill="FFFFFF"/>
        </w:rPr>
        <w:t>, and (b) conversion profiles of oxalic acid and product yields during electrochemical reduction for 12 h at an applied potential of −0.5 V vs RHE at a temperature of 25 °</w:t>
      </w:r>
      <w:r w:rsidRPr="00E615B2">
        <w:rPr>
          <w:rFonts w:ascii="Calibri" w:eastAsia="Calibri" w:hAnsi="Calibri" w:cs="Calibri"/>
          <w:color w:val="44546A"/>
          <w:sz w:val="24"/>
          <w:szCs w:val="24"/>
          <w:shd w:val="clear" w:color="auto" w:fill="FFFFFF"/>
          <w:lang w:eastAsia="en-US"/>
        </w:rPr>
        <w:t>C.</w:t>
      </w:r>
    </w:p>
    <w:p w14:paraId="4F32082B" w14:textId="77777777" w:rsidR="00623EFF" w:rsidRPr="00623EFF" w:rsidRDefault="00623EFF" w:rsidP="004C17CA">
      <w:pPr>
        <w:rPr>
          <w:rFonts w:ascii="Calibri" w:eastAsia="DengXian" w:hAnsi="Calibri" w:cs="Calibri"/>
        </w:rPr>
      </w:pPr>
    </w:p>
    <w:p w14:paraId="7494AD92" w14:textId="77777777" w:rsidR="00D90D1A" w:rsidRDefault="00D90D1A">
      <w:pPr>
        <w:rPr>
          <w:rFonts w:eastAsia="DengXian Light"/>
          <w:b/>
          <w:bCs/>
        </w:rPr>
      </w:pPr>
      <w:bookmarkStart w:id="7" w:name="_Toc155907123"/>
      <w:bookmarkStart w:id="8" w:name="_Toc165105684"/>
      <w:r>
        <w:rPr>
          <w:rFonts w:eastAsia="DengXian Light"/>
          <w:b/>
          <w:bCs/>
        </w:rPr>
        <w:br w:type="page"/>
      </w:r>
    </w:p>
    <w:p w14:paraId="0BD40DB2" w14:textId="73573B8E" w:rsidR="00047F12" w:rsidRPr="00214209" w:rsidRDefault="00047F12" w:rsidP="00214209">
      <w:pPr>
        <w:rPr>
          <w:rFonts w:eastAsia="DengXian Light"/>
          <w:b/>
          <w:bCs/>
        </w:rPr>
      </w:pPr>
      <w:r w:rsidRPr="00214209">
        <w:rPr>
          <w:rFonts w:eastAsia="DengXian Light"/>
          <w:b/>
          <w:bCs/>
        </w:rPr>
        <w:lastRenderedPageBreak/>
        <w:t>Cyclic Voltammetry</w:t>
      </w:r>
      <w:bookmarkEnd w:id="7"/>
      <w:bookmarkEnd w:id="8"/>
    </w:p>
    <w:p w14:paraId="6E047082" w14:textId="5A27CE84" w:rsidR="00047F12" w:rsidRPr="00047F12" w:rsidRDefault="00047F12" w:rsidP="00047F12">
      <w:pPr>
        <w:spacing w:after="200" w:line="360" w:lineRule="auto"/>
        <w:jc w:val="both"/>
        <w:rPr>
          <w:rFonts w:ascii="Calibri" w:eastAsia="DengXian" w:hAnsi="Calibri" w:cs="Calibri"/>
          <w:bCs/>
          <w:sz w:val="24"/>
          <w:szCs w:val="24"/>
        </w:rPr>
      </w:pPr>
      <w:r w:rsidRPr="00047F12">
        <w:rPr>
          <w:rFonts w:ascii="Calibri" w:eastAsia="DengXian" w:hAnsi="Calibri" w:cs="Calibri"/>
          <w:bCs/>
          <w:sz w:val="24"/>
          <w:szCs w:val="24"/>
        </w:rPr>
        <w:t xml:space="preserve">Cyclic voltammetry measurements were conducted using a Gamry </w:t>
      </w:r>
      <w:proofErr w:type="spellStart"/>
      <w:r w:rsidRPr="00047F12">
        <w:rPr>
          <w:rFonts w:ascii="Calibri" w:eastAsia="DengXian" w:hAnsi="Calibri" w:cs="Calibri"/>
          <w:bCs/>
          <w:sz w:val="24"/>
          <w:szCs w:val="24"/>
        </w:rPr>
        <w:t>potentiostat</w:t>
      </w:r>
      <w:proofErr w:type="spellEnd"/>
      <w:r w:rsidRPr="00047F12">
        <w:rPr>
          <w:rFonts w:ascii="Calibri" w:eastAsia="DengXian" w:hAnsi="Calibri" w:cs="Calibri"/>
          <w:bCs/>
          <w:sz w:val="24"/>
          <w:szCs w:val="24"/>
        </w:rPr>
        <w:t>/</w:t>
      </w:r>
      <w:proofErr w:type="spellStart"/>
      <w:r w:rsidRPr="00047F12">
        <w:rPr>
          <w:rFonts w:ascii="Calibri" w:eastAsia="DengXian" w:hAnsi="Calibri" w:cs="Calibri"/>
          <w:bCs/>
          <w:sz w:val="24"/>
          <w:szCs w:val="24"/>
        </w:rPr>
        <w:t>galvanostat</w:t>
      </w:r>
      <w:proofErr w:type="spellEnd"/>
      <w:r w:rsidRPr="00047F12">
        <w:rPr>
          <w:rFonts w:ascii="Calibri" w:eastAsia="DengXian" w:hAnsi="Calibri" w:cs="Calibri"/>
          <w:bCs/>
          <w:sz w:val="24"/>
          <w:szCs w:val="24"/>
        </w:rPr>
        <w:t xml:space="preserve"> (Gamry Instruments Interface 1010E) in a conventional three-electrode glass cell. The working electrode was titanium foil, having a surface area of 2 cm</w:t>
      </w:r>
      <w:r w:rsidRPr="00047F12">
        <w:rPr>
          <w:rFonts w:ascii="Calibri" w:eastAsia="DengXian" w:hAnsi="Calibri" w:cs="Calibri"/>
          <w:bCs/>
          <w:sz w:val="24"/>
          <w:szCs w:val="24"/>
          <w:vertAlign w:val="superscript"/>
        </w:rPr>
        <w:t>2</w:t>
      </w:r>
      <w:r w:rsidRPr="00047F12">
        <w:rPr>
          <w:rFonts w:ascii="Calibri" w:eastAsia="DengXian" w:hAnsi="Calibri" w:cs="Calibri"/>
          <w:bCs/>
          <w:sz w:val="24"/>
          <w:szCs w:val="24"/>
        </w:rPr>
        <w:t xml:space="preserve">, while the counter electrode was a platinum foil of the same dimensions as the working electrodes, and a saturated calomel electrode (SCE) served as the reference </w:t>
      </w:r>
      <w:r w:rsidRPr="00E615B2">
        <w:rPr>
          <w:rFonts w:ascii="Calibri" w:eastAsia="DengXian" w:hAnsi="Calibri" w:cs="Calibri"/>
          <w:bCs/>
          <w:sz w:val="24"/>
          <w:szCs w:val="24"/>
        </w:rPr>
        <w:t>electrode. Similarly, to evaluate the changes that may occur on the electrode during electrolysis, another cyclic voltammetry measurement was performed after bulk electrolysis; the outcomes are represented in Figure S</w:t>
      </w:r>
      <w:r w:rsidR="001C0C2E" w:rsidRPr="00E615B2">
        <w:rPr>
          <w:rFonts w:ascii="Calibri" w:eastAsia="DengXian" w:hAnsi="Calibri" w:cs="Calibri"/>
          <w:bCs/>
          <w:sz w:val="24"/>
          <w:szCs w:val="24"/>
        </w:rPr>
        <w:t>6</w:t>
      </w:r>
      <w:r w:rsidRPr="00E615B2">
        <w:rPr>
          <w:rFonts w:ascii="Calibri" w:eastAsia="DengXian" w:hAnsi="Calibri" w:cs="Calibri"/>
          <w:bCs/>
          <w:sz w:val="24"/>
          <w:szCs w:val="24"/>
        </w:rPr>
        <w:t>. From the voltammograms, only modest changes were observed on the electrode. All potentials</w:t>
      </w:r>
      <w:r w:rsidRPr="00047F12">
        <w:rPr>
          <w:rFonts w:ascii="Calibri" w:eastAsia="DengXian" w:hAnsi="Calibri" w:cs="Calibri"/>
          <w:bCs/>
          <w:sz w:val="24"/>
          <w:szCs w:val="24"/>
        </w:rPr>
        <w:t xml:space="preserve"> were measured relative to SCE. All potentials measured against SCE were then converted to RHE using the relation (E</w:t>
      </w:r>
      <w:r w:rsidRPr="00047F12">
        <w:rPr>
          <w:rFonts w:ascii="Calibri" w:eastAsia="DengXian" w:hAnsi="Calibri" w:cs="Calibri"/>
          <w:bCs/>
          <w:sz w:val="24"/>
          <w:szCs w:val="24"/>
          <w:vertAlign w:val="subscript"/>
        </w:rPr>
        <w:t>RHE</w:t>
      </w:r>
      <w:r w:rsidRPr="00047F12">
        <w:rPr>
          <w:rFonts w:ascii="Calibri" w:eastAsia="DengXian" w:hAnsi="Calibri" w:cs="Calibri"/>
          <w:bCs/>
          <w:sz w:val="24"/>
          <w:szCs w:val="24"/>
        </w:rPr>
        <w:t xml:space="preserve"> = E</w:t>
      </w:r>
      <w:r w:rsidRPr="00047F12">
        <w:rPr>
          <w:rFonts w:ascii="Calibri" w:eastAsia="DengXian" w:hAnsi="Calibri" w:cs="Calibri"/>
          <w:bCs/>
          <w:sz w:val="24"/>
          <w:szCs w:val="24"/>
          <w:vertAlign w:val="subscript"/>
        </w:rPr>
        <w:t>SCE</w:t>
      </w:r>
      <w:r w:rsidRPr="00047F12">
        <w:rPr>
          <w:rFonts w:ascii="Calibri" w:eastAsia="DengXian" w:hAnsi="Calibri" w:cs="Calibri"/>
          <w:bCs/>
          <w:sz w:val="24"/>
          <w:szCs w:val="24"/>
        </w:rPr>
        <w:t xml:space="preserve"> + 0.244 V + 0.059 × pH). The same was done for potentials measured against Ag/AgCl (E</w:t>
      </w:r>
      <w:r w:rsidRPr="00047F12">
        <w:rPr>
          <w:rFonts w:ascii="Calibri" w:eastAsia="DengXian" w:hAnsi="Calibri" w:cs="Calibri"/>
          <w:bCs/>
          <w:sz w:val="24"/>
          <w:szCs w:val="24"/>
          <w:vertAlign w:val="subscript"/>
        </w:rPr>
        <w:t>RHE</w:t>
      </w:r>
      <w:r w:rsidRPr="00047F12">
        <w:rPr>
          <w:rFonts w:ascii="Calibri" w:eastAsia="DengXian" w:hAnsi="Calibri" w:cs="Calibri"/>
          <w:bCs/>
          <w:sz w:val="24"/>
          <w:szCs w:val="24"/>
        </w:rPr>
        <w:t xml:space="preserve"> = </w:t>
      </w:r>
      <w:proofErr w:type="spellStart"/>
      <w:r w:rsidRPr="00047F12">
        <w:rPr>
          <w:rFonts w:ascii="Calibri" w:eastAsia="DengXian" w:hAnsi="Calibri" w:cs="Calibri"/>
          <w:bCs/>
          <w:sz w:val="24"/>
          <w:szCs w:val="24"/>
        </w:rPr>
        <w:t>E</w:t>
      </w:r>
      <w:r w:rsidRPr="00047F12">
        <w:rPr>
          <w:rFonts w:ascii="Calibri" w:eastAsia="DengXian" w:hAnsi="Calibri" w:cs="Calibri"/>
          <w:bCs/>
          <w:sz w:val="24"/>
          <w:szCs w:val="24"/>
          <w:vertAlign w:val="subscript"/>
        </w:rPr>
        <w:t>Ag</w:t>
      </w:r>
      <w:proofErr w:type="spellEnd"/>
      <w:r w:rsidRPr="00047F12">
        <w:rPr>
          <w:rFonts w:ascii="Calibri" w:eastAsia="DengXian" w:hAnsi="Calibri" w:cs="Calibri"/>
          <w:bCs/>
          <w:sz w:val="24"/>
          <w:szCs w:val="24"/>
          <w:vertAlign w:val="subscript"/>
        </w:rPr>
        <w:t>/AgCl</w:t>
      </w:r>
      <w:r w:rsidRPr="00047F12">
        <w:rPr>
          <w:rFonts w:ascii="Calibri" w:eastAsia="DengXian" w:hAnsi="Calibri" w:cs="Calibri"/>
          <w:bCs/>
          <w:sz w:val="24"/>
          <w:szCs w:val="24"/>
        </w:rPr>
        <w:t xml:space="preserve"> + 0.1976 V + 0.059 × pH)</w:t>
      </w:r>
      <w:r w:rsidRPr="00047F12">
        <w:rPr>
          <w:rFonts w:ascii="Calibri" w:eastAsia="DengXian" w:hAnsi="Calibri" w:cs="Calibri"/>
          <w:bCs/>
          <w:sz w:val="24"/>
          <w:szCs w:val="24"/>
        </w:rPr>
        <w:fldChar w:fldCharType="begin" w:fldLock="1"/>
      </w:r>
      <w:r w:rsidR="00504AA0" w:rsidRPr="007B26F4">
        <w:rPr>
          <w:rFonts w:ascii="Calibri" w:eastAsia="DengXian" w:hAnsi="Calibri" w:cs="Calibri"/>
          <w:bCs/>
          <w:sz w:val="24"/>
          <w:szCs w:val="24"/>
        </w:rPr>
        <w:instrText>ADDIN CSL_CITATION {"citationItems":[{"id":"ITEM-1","itemData":{"DOI":"10.1038/s41467-020-17403-1","ISSN":"20411723","PMID":"32686669","abstract":"Electrochemical CO2 reduction reaction (CO2RR) to liquid fuels is currently challenged by low product concentrations, as well as their mixture with traditional liquid electrolytes, such as KHCO3 solution. Here we report an all-solid-state electrochemical CO2RR system for continuous generation of high-purity and high-concentration formic acid vapors and solutions. The cathode and anode were separated by a porous solid electrolyte (PSE) layer, where electrochemically generated formate and proton were recombined to form molecular formic acid. The generated formic acid can be efficiently removed in the form of vapors via inert gas stream flowing through the PSE layer. Coupling with a high activity (formate partial current densities ~450 mA cm−2), selectivity (maximal Faradaic efficiency ~97%), and stability (100 hours) grain boundary-enriched bismuth catalyst, we demonstrated ultra-high concentrations of pure formic acid solutions (up to nearly 100 wt.%) condensed from generated vapors via flexible tuning of the carrier gas stream.","author":[{"dropping-particle":"","family":"Fan","given":"Lei","non-dropping-particle":"","parse-names":false,"suffix":""},{"dropping-particle":"","family":"Xia","given":"Chuan","non-dropping-particle":"","parse-names":false,"suffix":""},{"dropping-particle":"","family":"Zhu","given":"Peng","non-dropping-particle":"","parse-names":false,"suffix":""},{"dropping-particle":"","family":"Lu","given":"Yingying","non-dropping-particle":"","parse-names":false,"suffix":""},{"dropping-particle":"","family":"Wang","given":"Haotian","non-dropping-particle":"","parse-names":false,"suffix":""}],"container-title":"Nature Communications","id":"ITEM-1","issue":"1","issued":{"date-parts":[["2020"]]},"page":"1-9","publisher":"Springer US","title":"Electrochemical CO2 reduction to high-concentration pure formic acid solutions in an all-solid-state reactor","type":"article-journal","volume":"11"},"uris":["http://www.mendeley.com/documents/?uuid=e5c89cce-9ff3-40db-aa78-5fd10ed98871"]}],"mendeley":{"formattedCitation":"&lt;sup&gt;2&lt;/sup&gt;","plainTextFormattedCitation":"2","previouslyFormattedCitation":"&lt;sup&gt;3&lt;/sup&gt;"},"properties":{"noteIndex":0},"schema":"https://github.com/citation-style-language/schema/raw/master/csl-citation.json"}</w:instrText>
      </w:r>
      <w:r w:rsidRPr="00047F12">
        <w:rPr>
          <w:rFonts w:ascii="Calibri" w:eastAsia="DengXian" w:hAnsi="Calibri" w:cs="Calibri"/>
          <w:bCs/>
          <w:sz w:val="24"/>
          <w:szCs w:val="24"/>
        </w:rPr>
        <w:fldChar w:fldCharType="separate"/>
      </w:r>
      <w:r w:rsidR="00504AA0" w:rsidRPr="007B26F4">
        <w:rPr>
          <w:rFonts w:ascii="Calibri" w:eastAsia="DengXian" w:hAnsi="Calibri" w:cs="Calibri"/>
          <w:bCs/>
          <w:noProof/>
          <w:sz w:val="24"/>
          <w:szCs w:val="24"/>
          <w:vertAlign w:val="superscript"/>
        </w:rPr>
        <w:t>2</w:t>
      </w:r>
      <w:r w:rsidRPr="00047F12">
        <w:rPr>
          <w:rFonts w:ascii="Calibri" w:eastAsia="DengXian" w:hAnsi="Calibri" w:cs="Calibri"/>
          <w:bCs/>
          <w:sz w:val="24"/>
          <w:szCs w:val="24"/>
        </w:rPr>
        <w:fldChar w:fldCharType="end"/>
      </w:r>
      <w:r w:rsidRPr="00047F12">
        <w:rPr>
          <w:rFonts w:ascii="Calibri" w:eastAsia="DengXian" w:hAnsi="Calibri" w:cs="Calibri"/>
          <w:bCs/>
          <w:sz w:val="24"/>
          <w:szCs w:val="24"/>
        </w:rPr>
        <w:t xml:space="preserve"> to enable comparison with the outcomes reported by other researchers. Cyclic voltammetry experiments were conducted at 25 °C.</w:t>
      </w:r>
    </w:p>
    <w:p w14:paraId="6EC17F2D" w14:textId="77777777" w:rsidR="00623EFF" w:rsidRPr="005F0247" w:rsidRDefault="00623EFF" w:rsidP="005F0247">
      <w:pPr>
        <w:rPr>
          <w:rFonts w:ascii="Calibri" w:eastAsia="DengXian" w:hAnsi="Calibri" w:cs="Calibri"/>
          <w:noProof/>
        </w:rPr>
      </w:pPr>
    </w:p>
    <w:p w14:paraId="73D9020E" w14:textId="05F9AC9A" w:rsidR="00B16A7A" w:rsidRPr="00E615B2" w:rsidRDefault="00047F12" w:rsidP="00047F12">
      <w:pPr>
        <w:jc w:val="center"/>
        <w:rPr>
          <w:rFonts w:ascii="Calibri" w:hAnsi="Calibri" w:cs="Calibri"/>
        </w:rPr>
      </w:pPr>
      <w:r w:rsidRPr="00E615B2">
        <w:rPr>
          <w:rFonts w:ascii="Calibri" w:eastAsia="DengXian" w:hAnsi="Calibri" w:cs="Calibri"/>
          <w:noProof/>
        </w:rPr>
        <w:drawing>
          <wp:inline distT="0" distB="0" distL="0" distR="0" wp14:anchorId="565F55C7" wp14:editId="226A9839">
            <wp:extent cx="2730173" cy="2160000"/>
            <wp:effectExtent l="0" t="0" r="0" b="0"/>
            <wp:docPr id="862499768" name="Picture 1" descr="A graph of a graph showing the amount of bulk electro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99768" name="Picture 1" descr="A graph of a graph showing the amount of bulk electrolysis&#10;&#10;Description automatically generated"/>
                    <pic:cNvPicPr/>
                  </pic:nvPicPr>
                  <pic:blipFill>
                    <a:blip r:embed="rId12"/>
                    <a:stretch>
                      <a:fillRect/>
                    </a:stretch>
                  </pic:blipFill>
                  <pic:spPr>
                    <a:xfrm>
                      <a:off x="0" y="0"/>
                      <a:ext cx="2730173" cy="2160000"/>
                    </a:xfrm>
                    <a:prstGeom prst="rect">
                      <a:avLst/>
                    </a:prstGeom>
                  </pic:spPr>
                </pic:pic>
              </a:graphicData>
            </a:graphic>
          </wp:inline>
        </w:drawing>
      </w:r>
    </w:p>
    <w:p w14:paraId="6DD63A3A" w14:textId="3EA13BAB" w:rsidR="00214209" w:rsidRPr="00047F12" w:rsidRDefault="00047F12" w:rsidP="00047F12">
      <w:pPr>
        <w:spacing w:after="200" w:line="276" w:lineRule="auto"/>
        <w:jc w:val="both"/>
        <w:rPr>
          <w:rFonts w:ascii="Calibri" w:eastAsia="DengXian" w:hAnsi="Calibri" w:cs="Calibri"/>
          <w:sz w:val="24"/>
          <w:szCs w:val="24"/>
        </w:rPr>
      </w:pPr>
      <w:r w:rsidRPr="00E615B2">
        <w:rPr>
          <w:rFonts w:ascii="Calibri" w:eastAsia="DengXian" w:hAnsi="Calibri" w:cs="Calibri"/>
          <w:b/>
          <w:bCs/>
          <w:sz w:val="24"/>
          <w:szCs w:val="24"/>
        </w:rPr>
        <w:t>Figure S</w:t>
      </w:r>
      <w:r w:rsidR="001C0C2E" w:rsidRPr="00E615B2">
        <w:rPr>
          <w:rFonts w:ascii="Calibri" w:eastAsia="DengXian" w:hAnsi="Calibri" w:cs="Calibri"/>
          <w:b/>
          <w:bCs/>
          <w:sz w:val="24"/>
          <w:szCs w:val="24"/>
        </w:rPr>
        <w:t>6</w:t>
      </w:r>
      <w:r w:rsidRPr="00E615B2">
        <w:rPr>
          <w:rFonts w:ascii="Calibri" w:eastAsia="DengXian" w:hAnsi="Calibri" w:cs="Calibri"/>
          <w:b/>
          <w:bCs/>
          <w:sz w:val="24"/>
          <w:szCs w:val="24"/>
        </w:rPr>
        <w:t>:</w:t>
      </w:r>
      <w:r w:rsidRPr="00E615B2">
        <w:rPr>
          <w:rFonts w:ascii="Calibri" w:eastAsia="DengXian" w:hAnsi="Calibri" w:cs="Calibri"/>
          <w:sz w:val="24"/>
          <w:szCs w:val="24"/>
        </w:rPr>
        <w:t xml:space="preserve"> Cyclic voltammetry of a titanium electrode with a surface area of 2 cm</w:t>
      </w:r>
      <w:r w:rsidRPr="00E615B2">
        <w:rPr>
          <w:rFonts w:ascii="Calibri" w:eastAsia="DengXian" w:hAnsi="Calibri" w:cs="Calibri"/>
          <w:sz w:val="24"/>
          <w:szCs w:val="24"/>
          <w:vertAlign w:val="superscript"/>
        </w:rPr>
        <w:t>2</w:t>
      </w:r>
      <w:r w:rsidRPr="00E615B2">
        <w:rPr>
          <w:rFonts w:ascii="Calibri" w:eastAsia="DengXian" w:hAnsi="Calibri" w:cs="Calibri"/>
          <w:sz w:val="24"/>
          <w:szCs w:val="24"/>
        </w:rPr>
        <w:t xml:space="preserve"> in 0.03 M oxalic acid in 0.2 M Na</w:t>
      </w:r>
      <w:r w:rsidRPr="00E615B2">
        <w:rPr>
          <w:rFonts w:ascii="Calibri" w:eastAsia="DengXian" w:hAnsi="Calibri" w:cs="Calibri"/>
          <w:sz w:val="24"/>
          <w:szCs w:val="24"/>
          <w:vertAlign w:val="subscript"/>
        </w:rPr>
        <w:t>2</w:t>
      </w:r>
      <w:r w:rsidRPr="00E615B2">
        <w:rPr>
          <w:rFonts w:ascii="Calibri" w:eastAsia="DengXian" w:hAnsi="Calibri" w:cs="Calibri"/>
          <w:sz w:val="24"/>
          <w:szCs w:val="24"/>
        </w:rPr>
        <w:t>SO</w:t>
      </w:r>
      <w:r w:rsidRPr="00E615B2">
        <w:rPr>
          <w:rFonts w:ascii="Calibri" w:eastAsia="DengXian" w:hAnsi="Calibri" w:cs="Calibri"/>
          <w:sz w:val="24"/>
          <w:szCs w:val="24"/>
          <w:vertAlign w:val="subscript"/>
        </w:rPr>
        <w:t>4</w:t>
      </w:r>
      <w:r w:rsidRPr="00E615B2">
        <w:rPr>
          <w:rFonts w:ascii="Calibri" w:eastAsia="DengXian" w:hAnsi="Calibri" w:cs="Calibri"/>
          <w:sz w:val="24"/>
          <w:szCs w:val="24"/>
        </w:rPr>
        <w:t xml:space="preserve"> (a) before bulk electrolysis (black line) and (b) after bulk electrolysis at an optimal potential of −0.6</w:t>
      </w:r>
      <w:r w:rsidR="00CA5634" w:rsidRPr="00E615B2">
        <w:rPr>
          <w:rFonts w:ascii="Calibri" w:eastAsia="DengXian" w:hAnsi="Calibri" w:cs="Calibri"/>
          <w:sz w:val="24"/>
          <w:szCs w:val="24"/>
        </w:rPr>
        <w:t xml:space="preserve"> V</w:t>
      </w:r>
      <w:r w:rsidRPr="00E615B2">
        <w:rPr>
          <w:rFonts w:ascii="Calibri" w:eastAsia="DengXian" w:hAnsi="Calibri" w:cs="Calibri"/>
          <w:sz w:val="24"/>
          <w:szCs w:val="24"/>
        </w:rPr>
        <w:t xml:space="preserve"> vs RHE for 12 hours (red line). The measurements were taken at a scan rate of 50 mV s</w:t>
      </w:r>
      <w:r w:rsidRPr="00E615B2">
        <w:rPr>
          <w:rFonts w:ascii="Calibri" w:eastAsia="DengXian" w:hAnsi="Calibri" w:cs="Calibri"/>
          <w:sz w:val="24"/>
          <w:szCs w:val="24"/>
          <w:vertAlign w:val="superscript"/>
        </w:rPr>
        <w:t>−1</w:t>
      </w:r>
      <w:r w:rsidRPr="00E615B2">
        <w:rPr>
          <w:rFonts w:ascii="Calibri" w:eastAsia="DengXian" w:hAnsi="Calibri" w:cs="Calibri"/>
          <w:sz w:val="24"/>
          <w:szCs w:val="24"/>
        </w:rPr>
        <w:t xml:space="preserve"> and a temperature of 25 °C.</w:t>
      </w:r>
    </w:p>
    <w:p w14:paraId="3CC2AE63" w14:textId="51AB8255" w:rsidR="006544F6" w:rsidRDefault="006544F6">
      <w:pPr>
        <w:rPr>
          <w:rFonts w:ascii="Calibri" w:hAnsi="Calibri" w:cs="Calibri"/>
        </w:rPr>
      </w:pPr>
      <w:r>
        <w:rPr>
          <w:rFonts w:ascii="Calibri" w:hAnsi="Calibri" w:cs="Calibri"/>
        </w:rPr>
        <w:br w:type="page"/>
      </w:r>
    </w:p>
    <w:p w14:paraId="3FA31FFB" w14:textId="05F91B26" w:rsidR="00243E09" w:rsidRPr="00214209" w:rsidRDefault="00243E09" w:rsidP="00214209">
      <w:pPr>
        <w:rPr>
          <w:rFonts w:eastAsia="DengXian Light"/>
          <w:b/>
          <w:bCs/>
        </w:rPr>
      </w:pPr>
      <w:bookmarkStart w:id="9" w:name="_Toc155907126"/>
      <w:bookmarkStart w:id="10" w:name="_Toc165105687"/>
      <w:r w:rsidRPr="00214209">
        <w:rPr>
          <w:rFonts w:eastAsia="DengXian Light"/>
          <w:b/>
          <w:bCs/>
        </w:rPr>
        <w:lastRenderedPageBreak/>
        <w:t>X-ray Diffraction (XRD) Analysis</w:t>
      </w:r>
      <w:bookmarkEnd w:id="9"/>
      <w:bookmarkEnd w:id="10"/>
      <w:r w:rsidRPr="00214209">
        <w:rPr>
          <w:rFonts w:eastAsia="DengXian Light"/>
          <w:b/>
          <w:bCs/>
        </w:rPr>
        <w:t xml:space="preserve"> </w:t>
      </w:r>
    </w:p>
    <w:p w14:paraId="700EC329" w14:textId="77777777" w:rsidR="00243E09" w:rsidRPr="00BA7963" w:rsidRDefault="00243E09" w:rsidP="00243E09">
      <w:pPr>
        <w:spacing w:line="360" w:lineRule="auto"/>
        <w:jc w:val="both"/>
        <w:rPr>
          <w:rFonts w:ascii="Calibri" w:eastAsia="DengXian" w:hAnsi="Calibri" w:cs="Calibri"/>
          <w:sz w:val="24"/>
          <w:szCs w:val="24"/>
        </w:rPr>
      </w:pPr>
      <w:r w:rsidRPr="00BA7963">
        <w:rPr>
          <w:rFonts w:ascii="Calibri" w:eastAsia="DengXian" w:hAnsi="Calibri" w:cs="Calibri"/>
          <w:sz w:val="24"/>
          <w:szCs w:val="24"/>
        </w:rPr>
        <w:t xml:space="preserve">Figure S7 shows the X-ray diffraction (XRD) pattern of the titanium electrode before and after electrolysis to understand its crystalline structure in detail. </w:t>
      </w:r>
      <w:r w:rsidRPr="00BA7963">
        <w:rPr>
          <w:rFonts w:ascii="Calibri" w:eastAsia="DengXian" w:hAnsi="Calibri" w:cs="Calibri"/>
          <w:sz w:val="24"/>
          <w:szCs w:val="24"/>
          <w:lang w:val="pt-BR"/>
        </w:rPr>
        <w:t>Generally, the titanium oxides consist of sub-oxide forms having the general formula Ti</w:t>
      </w:r>
      <w:r w:rsidRPr="00BA7963">
        <w:rPr>
          <w:rFonts w:ascii="Calibri" w:eastAsia="DengXian" w:hAnsi="Calibri" w:cs="Calibri"/>
          <w:sz w:val="24"/>
          <w:szCs w:val="24"/>
          <w:vertAlign w:val="subscript"/>
          <w:lang w:val="pt-BR"/>
        </w:rPr>
        <w:t>n</w:t>
      </w:r>
      <w:r w:rsidRPr="00BA7963">
        <w:rPr>
          <w:rFonts w:ascii="Calibri" w:eastAsia="DengXian" w:hAnsi="Calibri" w:cs="Calibri"/>
          <w:sz w:val="24"/>
          <w:szCs w:val="24"/>
          <w:lang w:val="pt-BR"/>
        </w:rPr>
        <w:t>O</w:t>
      </w:r>
      <w:r w:rsidRPr="00BA7963">
        <w:rPr>
          <w:rFonts w:ascii="Calibri" w:eastAsia="DengXian" w:hAnsi="Calibri" w:cs="Calibri"/>
          <w:sz w:val="24"/>
          <w:szCs w:val="24"/>
          <w:vertAlign w:val="subscript"/>
          <w:lang w:val="pt-BR"/>
        </w:rPr>
        <w:t>2n−1</w:t>
      </w:r>
      <w:r w:rsidRPr="00BA7963">
        <w:rPr>
          <w:rFonts w:ascii="Calibri" w:eastAsia="DengXian" w:hAnsi="Calibri" w:cs="Calibri"/>
          <w:sz w:val="24"/>
          <w:szCs w:val="24"/>
          <w:lang w:val="pt-BR"/>
        </w:rPr>
        <w:t xml:space="preserve"> where 3 &lt; n &lt; 10 (such as TiO</w:t>
      </w:r>
      <w:r w:rsidRPr="00BA7963">
        <w:rPr>
          <w:rFonts w:ascii="Calibri" w:eastAsia="DengXian" w:hAnsi="Calibri" w:cs="Calibri"/>
          <w:sz w:val="24"/>
          <w:szCs w:val="24"/>
          <w:vertAlign w:val="subscript"/>
          <w:lang w:val="pt-BR"/>
        </w:rPr>
        <w:t>2</w:t>
      </w:r>
      <w:r w:rsidRPr="00BA7963">
        <w:rPr>
          <w:rFonts w:ascii="Calibri" w:eastAsia="DengXian" w:hAnsi="Calibri" w:cs="Calibri"/>
          <w:sz w:val="24"/>
          <w:szCs w:val="24"/>
          <w:lang w:val="pt-BR"/>
        </w:rPr>
        <w:t>, Ti</w:t>
      </w:r>
      <w:r w:rsidRPr="00BA7963">
        <w:rPr>
          <w:rFonts w:ascii="Calibri" w:eastAsia="DengXian" w:hAnsi="Calibri" w:cs="Calibri"/>
          <w:sz w:val="24"/>
          <w:szCs w:val="24"/>
          <w:vertAlign w:val="subscript"/>
          <w:lang w:val="pt-BR"/>
        </w:rPr>
        <w:t>2</w:t>
      </w:r>
      <w:r w:rsidRPr="00BA7963">
        <w:rPr>
          <w:rFonts w:ascii="Calibri" w:eastAsia="DengXian" w:hAnsi="Calibri" w:cs="Calibri"/>
          <w:sz w:val="24"/>
          <w:szCs w:val="24"/>
          <w:lang w:val="pt-BR"/>
        </w:rPr>
        <w:t>O, Ti</w:t>
      </w:r>
      <w:r w:rsidRPr="00BA7963">
        <w:rPr>
          <w:rFonts w:ascii="Calibri" w:eastAsia="DengXian" w:hAnsi="Calibri" w:cs="Calibri"/>
          <w:sz w:val="24"/>
          <w:szCs w:val="24"/>
          <w:vertAlign w:val="subscript"/>
          <w:lang w:val="pt-BR"/>
        </w:rPr>
        <w:t>3</w:t>
      </w:r>
      <w:r w:rsidRPr="00BA7963">
        <w:rPr>
          <w:rFonts w:ascii="Calibri" w:eastAsia="DengXian" w:hAnsi="Calibri" w:cs="Calibri"/>
          <w:sz w:val="24"/>
          <w:szCs w:val="24"/>
          <w:lang w:val="pt-BR"/>
        </w:rPr>
        <w:t>O</w:t>
      </w:r>
      <w:r w:rsidRPr="00BA7963">
        <w:rPr>
          <w:rFonts w:ascii="Calibri" w:eastAsia="DengXian" w:hAnsi="Calibri" w:cs="Calibri"/>
          <w:sz w:val="24"/>
          <w:szCs w:val="24"/>
          <w:vertAlign w:val="subscript"/>
          <w:lang w:val="pt-BR"/>
        </w:rPr>
        <w:t>5</w:t>
      </w:r>
      <w:r w:rsidRPr="00BA7963">
        <w:rPr>
          <w:rFonts w:ascii="Calibri" w:eastAsia="DengXian" w:hAnsi="Calibri" w:cs="Calibri"/>
          <w:sz w:val="24"/>
          <w:szCs w:val="24"/>
          <w:lang w:val="pt-BR"/>
        </w:rPr>
        <w:t>, Ti</w:t>
      </w:r>
      <w:r w:rsidRPr="00BA7963">
        <w:rPr>
          <w:rFonts w:ascii="Calibri" w:eastAsia="DengXian" w:hAnsi="Calibri" w:cs="Calibri"/>
          <w:sz w:val="24"/>
          <w:szCs w:val="24"/>
          <w:vertAlign w:val="subscript"/>
          <w:lang w:val="pt-BR"/>
        </w:rPr>
        <w:t>4</w:t>
      </w:r>
      <w:r w:rsidRPr="00BA7963">
        <w:rPr>
          <w:rFonts w:ascii="Calibri" w:eastAsia="DengXian" w:hAnsi="Calibri" w:cs="Calibri"/>
          <w:sz w:val="24"/>
          <w:szCs w:val="24"/>
          <w:lang w:val="pt-BR"/>
        </w:rPr>
        <w:t>O</w:t>
      </w:r>
      <w:r w:rsidRPr="00BA7963">
        <w:rPr>
          <w:rFonts w:ascii="Calibri" w:eastAsia="DengXian" w:hAnsi="Calibri" w:cs="Calibri"/>
          <w:sz w:val="24"/>
          <w:szCs w:val="24"/>
          <w:vertAlign w:val="subscript"/>
          <w:lang w:val="pt-BR"/>
        </w:rPr>
        <w:t>7</w:t>
      </w:r>
      <w:r w:rsidRPr="00BA7963">
        <w:rPr>
          <w:rFonts w:ascii="Calibri" w:eastAsia="DengXian" w:hAnsi="Calibri" w:cs="Calibri"/>
          <w:sz w:val="24"/>
          <w:szCs w:val="24"/>
          <w:lang w:val="pt-BR"/>
        </w:rPr>
        <w:t>, Ti</w:t>
      </w:r>
      <w:r w:rsidRPr="00BA7963">
        <w:rPr>
          <w:rFonts w:ascii="Calibri" w:eastAsia="DengXian" w:hAnsi="Calibri" w:cs="Calibri"/>
          <w:sz w:val="24"/>
          <w:szCs w:val="24"/>
          <w:vertAlign w:val="subscript"/>
          <w:lang w:val="pt-BR"/>
        </w:rPr>
        <w:t>5</w:t>
      </w:r>
      <w:r w:rsidRPr="00BA7963">
        <w:rPr>
          <w:rFonts w:ascii="Calibri" w:eastAsia="DengXian" w:hAnsi="Calibri" w:cs="Calibri"/>
          <w:sz w:val="24"/>
          <w:szCs w:val="24"/>
          <w:lang w:val="pt-BR"/>
        </w:rPr>
        <w:t>O</w:t>
      </w:r>
      <w:r w:rsidRPr="00BA7963">
        <w:rPr>
          <w:rFonts w:ascii="Calibri" w:eastAsia="DengXian" w:hAnsi="Calibri" w:cs="Calibri"/>
          <w:sz w:val="24"/>
          <w:szCs w:val="24"/>
          <w:vertAlign w:val="subscript"/>
          <w:lang w:val="pt-BR"/>
        </w:rPr>
        <w:t>9</w:t>
      </w:r>
      <w:r w:rsidRPr="00BA7963">
        <w:rPr>
          <w:rFonts w:ascii="Calibri" w:eastAsia="DengXian" w:hAnsi="Calibri" w:cs="Calibri"/>
          <w:sz w:val="24"/>
          <w:szCs w:val="24"/>
          <w:lang w:val="pt-BR"/>
        </w:rPr>
        <w:t>, Ti</w:t>
      </w:r>
      <w:r w:rsidRPr="00BA7963">
        <w:rPr>
          <w:rFonts w:ascii="Calibri" w:eastAsia="DengXian" w:hAnsi="Calibri" w:cs="Calibri"/>
          <w:sz w:val="24"/>
          <w:szCs w:val="24"/>
          <w:vertAlign w:val="subscript"/>
          <w:lang w:val="pt-BR"/>
        </w:rPr>
        <w:t>6</w:t>
      </w:r>
      <w:r w:rsidRPr="00BA7963">
        <w:rPr>
          <w:rFonts w:ascii="Calibri" w:eastAsia="DengXian" w:hAnsi="Calibri" w:cs="Calibri"/>
          <w:sz w:val="24"/>
          <w:szCs w:val="24"/>
          <w:lang w:val="pt-BR"/>
        </w:rPr>
        <w:t>O</w:t>
      </w:r>
      <w:r w:rsidRPr="00BA7963">
        <w:rPr>
          <w:rFonts w:ascii="Calibri" w:eastAsia="DengXian" w:hAnsi="Calibri" w:cs="Calibri"/>
          <w:sz w:val="24"/>
          <w:szCs w:val="24"/>
          <w:vertAlign w:val="subscript"/>
          <w:lang w:val="pt-BR"/>
        </w:rPr>
        <w:t>11</w:t>
      </w:r>
      <w:r w:rsidRPr="00BA7963">
        <w:rPr>
          <w:rFonts w:ascii="Calibri" w:eastAsia="DengXian" w:hAnsi="Calibri" w:cs="Calibri"/>
          <w:sz w:val="24"/>
          <w:szCs w:val="24"/>
          <w:lang w:val="pt-BR"/>
        </w:rPr>
        <w:t>, etc.).</w:t>
      </w:r>
      <w:r w:rsidRPr="00BA7963">
        <w:rPr>
          <w:rFonts w:ascii="Calibri" w:eastAsia="DengXian" w:hAnsi="Calibri" w:cs="Calibri"/>
          <w:sz w:val="24"/>
          <w:szCs w:val="24"/>
          <w:lang w:val="pt-BR"/>
        </w:rPr>
        <w:fldChar w:fldCharType="begin" w:fldLock="1"/>
      </w:r>
      <w:r w:rsidRPr="00BA7963">
        <w:rPr>
          <w:rFonts w:ascii="Calibri" w:eastAsia="DengXian" w:hAnsi="Calibri" w:cs="Calibri"/>
          <w:sz w:val="24"/>
          <w:szCs w:val="24"/>
          <w:lang w:val="pt-BR"/>
        </w:rPr>
        <w:instrText>ADDIN CSL_CITATION {"citationItems":[{"id":"ITEM-1","itemData":{"author":[{"dropping-particle":"","family":"Ertekin","given":"Z","non-dropping-particle":"","parse-names":false,"suffix":""},{"dropping-particle":"","family":"Tamer","given":"U","non-dropping-particle":"","parse-names":false,"suffix":""},{"dropping-particle":"","family":"Acta","given":"K Pekmez - Electrochimica","non-dropping-particle":"","parse-names":false,"suffix":""},{"dropping-particle":"","family":"2015","given":"undefined","non-dropping-particle":"","parse-names":false,"suffix":""}],"container-title":"Elsevier","id":"ITEM-1","issued":{"date-parts":[["0"]]},"title":"Cathodic electrochemical deposition of Magnéli phases TinO2n− 1 thin films at different temperatures in acetonitrile solution","type":"article-journal"},"uris":["http://www.mendeley.com/documents/?uuid=2ea25c14-6f6a-3d7d-93fb-6c0323723aa9"]}],"mendeley":{"formattedCitation":"&lt;sup&gt;5&lt;/sup&gt;","plainTextFormattedCitation":"5","previouslyFormattedCitation":"&lt;sup&gt;5&lt;/sup&gt;"},"properties":{"noteIndex":0},"schema":"https://github.com/citation-style-language/schema/raw/master/csl-citation.json"}</w:instrText>
      </w:r>
      <w:r w:rsidRPr="00BA7963">
        <w:rPr>
          <w:rFonts w:ascii="Calibri" w:eastAsia="DengXian" w:hAnsi="Calibri" w:cs="Calibri"/>
          <w:sz w:val="24"/>
          <w:szCs w:val="24"/>
          <w:lang w:val="pt-BR"/>
        </w:rPr>
        <w:fldChar w:fldCharType="separate"/>
      </w:r>
      <w:r w:rsidRPr="00BA7963">
        <w:rPr>
          <w:rFonts w:ascii="Calibri" w:eastAsia="DengXian" w:hAnsi="Calibri" w:cs="Calibri"/>
          <w:noProof/>
          <w:sz w:val="24"/>
          <w:szCs w:val="24"/>
          <w:vertAlign w:val="superscript"/>
        </w:rPr>
        <w:t>5</w:t>
      </w:r>
      <w:r w:rsidRPr="00BA7963">
        <w:rPr>
          <w:rFonts w:ascii="Calibri" w:eastAsia="DengXian" w:hAnsi="Calibri" w:cs="Calibri"/>
          <w:sz w:val="24"/>
          <w:szCs w:val="24"/>
          <w:lang w:val="pt-BR"/>
        </w:rPr>
        <w:fldChar w:fldCharType="end"/>
      </w:r>
      <w:r w:rsidRPr="00BA7963">
        <w:rPr>
          <w:rFonts w:ascii="Calibri" w:eastAsia="DengXian" w:hAnsi="Calibri" w:cs="Calibri"/>
          <w:sz w:val="24"/>
          <w:szCs w:val="24"/>
        </w:rPr>
        <w:t xml:space="preserve"> These oxides display different properties, such as high electrical conductivity and chemical stability. The electrical conductivity values vary depending on the sub-oxide (‘n’ value) structure.</w:t>
      </w:r>
      <w:r w:rsidRPr="00BA7963">
        <w:rPr>
          <w:rFonts w:ascii="Calibri" w:eastAsia="DengXian" w:hAnsi="Calibri" w:cs="Calibri"/>
          <w:sz w:val="24"/>
          <w:szCs w:val="24"/>
        </w:rPr>
        <w:fldChar w:fldCharType="begin" w:fldLock="1"/>
      </w:r>
      <w:r w:rsidRPr="00BA7963">
        <w:rPr>
          <w:rFonts w:ascii="Calibri" w:eastAsia="DengXian" w:hAnsi="Calibri" w:cs="Calibri"/>
          <w:sz w:val="24"/>
          <w:szCs w:val="24"/>
        </w:rPr>
        <w:instrText>ADDIN CSL_CITATION {"citationItems":[{"id":"ITEM-1","itemData":{"author":[{"dropping-particle":"","family":"Ertekin","given":"Z","non-dropping-particle":"","parse-names":false,"suffix":""},{"dropping-particle":"","family":"Tamer","given":"U","non-dropping-particle":"","parse-names":false,"suffix":""},{"dropping-particle":"","family":"Acta","given":"K Pekmez - Electrochimica","non-dropping-particle":"","parse-names":false,"suffix":""},{"dropping-particle":"","family":"2015","given":"undefined","non-dropping-particle":"","parse-names":false,"suffix":""}],"container-title":"Elsevier","id":"ITEM-1","issued":{"date-parts":[["0"]]},"title":"Cathodic electrochemical deposition of Magnéli phases TinO2n− 1 thin films at different temperatures in acetonitrile solution","type":"article-journal"},"uris":["http://www.mendeley.com/documents/?uuid=2ea25c14-6f6a-3d7d-93fb-6c0323723aa9"]}],"mendeley":{"formattedCitation":"&lt;sup&gt;5&lt;/sup&gt;","plainTextFormattedCitation":"5","previouslyFormattedCitation":"&lt;sup&gt;5&lt;/sup&gt;"},"properties":{"noteIndex":0},"schema":"https://github.com/citation-style-language/schema/raw/master/csl-citation.json"}</w:instrText>
      </w:r>
      <w:r w:rsidRPr="00BA7963">
        <w:rPr>
          <w:rFonts w:ascii="Calibri" w:eastAsia="DengXian" w:hAnsi="Calibri" w:cs="Calibri"/>
          <w:sz w:val="24"/>
          <w:szCs w:val="24"/>
        </w:rPr>
        <w:fldChar w:fldCharType="separate"/>
      </w:r>
      <w:r w:rsidRPr="00BA7963">
        <w:rPr>
          <w:rFonts w:ascii="Calibri" w:eastAsia="DengXian" w:hAnsi="Calibri" w:cs="Calibri"/>
          <w:noProof/>
          <w:sz w:val="24"/>
          <w:szCs w:val="24"/>
          <w:vertAlign w:val="superscript"/>
        </w:rPr>
        <w:t>5</w:t>
      </w:r>
      <w:r w:rsidRPr="00BA7963">
        <w:rPr>
          <w:rFonts w:ascii="Calibri" w:eastAsia="DengXian" w:hAnsi="Calibri" w:cs="Calibri"/>
          <w:sz w:val="24"/>
          <w:szCs w:val="24"/>
        </w:rPr>
        <w:fldChar w:fldCharType="end"/>
      </w:r>
      <w:r w:rsidRPr="00BA7963">
        <w:rPr>
          <w:rFonts w:ascii="Calibri" w:eastAsia="DengXian" w:hAnsi="Calibri" w:cs="Calibri"/>
          <w:sz w:val="24"/>
          <w:szCs w:val="24"/>
        </w:rPr>
        <w:t xml:space="preserve">  </w:t>
      </w:r>
    </w:p>
    <w:p w14:paraId="0161FA14" w14:textId="77777777" w:rsidR="00243E09" w:rsidRPr="00243E09" w:rsidRDefault="00243E09" w:rsidP="00243E09">
      <w:pPr>
        <w:keepNext/>
        <w:jc w:val="center"/>
        <w:rPr>
          <w:rFonts w:ascii="Calibri" w:eastAsia="DengXian" w:hAnsi="Calibri" w:cs="Calibri"/>
        </w:rPr>
      </w:pPr>
      <w:r w:rsidRPr="00243E09">
        <w:rPr>
          <w:rFonts w:ascii="Calibri" w:eastAsia="DengXian" w:hAnsi="Calibri" w:cs="Calibri"/>
        </w:rPr>
        <w:object w:dxaOrig="6174" w:dyaOrig="4726" w14:anchorId="4ADA9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237pt" o:ole="">
            <v:imagedata r:id="rId13" o:title=""/>
          </v:shape>
          <o:OLEObject Type="Embed" ProgID="Origin95.Graph" ShapeID="_x0000_i1025" DrawAspect="Content" ObjectID="_1776859999" r:id="rId14"/>
        </w:object>
      </w:r>
    </w:p>
    <w:p w14:paraId="68AB313F" w14:textId="1F43C569" w:rsidR="00214209" w:rsidRPr="00DB379C" w:rsidRDefault="00243E09" w:rsidP="00C0139F">
      <w:pPr>
        <w:spacing w:after="200" w:line="276" w:lineRule="auto"/>
        <w:jc w:val="both"/>
        <w:rPr>
          <w:rFonts w:ascii="Calibri" w:eastAsia="DengXian" w:hAnsi="Calibri" w:cs="Calibri"/>
          <w:sz w:val="24"/>
          <w:szCs w:val="24"/>
          <w:shd w:val="clear" w:color="auto" w:fill="FFFFFF"/>
        </w:rPr>
      </w:pPr>
      <w:r w:rsidRPr="00243E09">
        <w:rPr>
          <w:rFonts w:ascii="Calibri" w:eastAsia="DengXian" w:hAnsi="Calibri" w:cs="Calibri"/>
          <w:b/>
          <w:bCs/>
          <w:sz w:val="24"/>
          <w:szCs w:val="24"/>
        </w:rPr>
        <w:t>Figure S</w:t>
      </w:r>
      <w:r w:rsidRPr="00243E09">
        <w:rPr>
          <w:rFonts w:ascii="Calibri" w:eastAsia="DengXian" w:hAnsi="Calibri" w:cs="Calibri"/>
          <w:b/>
          <w:bCs/>
          <w:sz w:val="24"/>
          <w:szCs w:val="24"/>
        </w:rPr>
        <w:fldChar w:fldCharType="begin"/>
      </w:r>
      <w:r w:rsidRPr="00243E09">
        <w:rPr>
          <w:rFonts w:ascii="Calibri" w:eastAsia="DengXian" w:hAnsi="Calibri" w:cs="Calibri"/>
          <w:b/>
          <w:bCs/>
          <w:sz w:val="24"/>
          <w:szCs w:val="24"/>
        </w:rPr>
        <w:instrText xml:space="preserve"> SEQ Figure \* ARABIC </w:instrText>
      </w:r>
      <w:r w:rsidRPr="00243E09">
        <w:rPr>
          <w:rFonts w:ascii="Calibri" w:eastAsia="DengXian" w:hAnsi="Calibri" w:cs="Calibri"/>
          <w:b/>
          <w:bCs/>
          <w:sz w:val="24"/>
          <w:szCs w:val="24"/>
        </w:rPr>
        <w:fldChar w:fldCharType="separate"/>
      </w:r>
      <w:r w:rsidR="00C0139F" w:rsidRPr="007B26F4">
        <w:rPr>
          <w:rFonts w:ascii="Calibri" w:eastAsia="DengXian" w:hAnsi="Calibri" w:cs="Calibri"/>
          <w:b/>
          <w:bCs/>
          <w:noProof/>
          <w:sz w:val="24"/>
          <w:szCs w:val="24"/>
        </w:rPr>
        <w:t>7</w:t>
      </w:r>
      <w:r w:rsidRPr="00243E09">
        <w:rPr>
          <w:rFonts w:ascii="Calibri" w:eastAsia="DengXian" w:hAnsi="Calibri" w:cs="Calibri"/>
          <w:b/>
          <w:bCs/>
          <w:sz w:val="24"/>
          <w:szCs w:val="24"/>
        </w:rPr>
        <w:fldChar w:fldCharType="end"/>
      </w:r>
      <w:r w:rsidRPr="00243E09">
        <w:rPr>
          <w:rFonts w:ascii="Calibri" w:eastAsia="DengXian" w:hAnsi="Calibri" w:cs="Calibri"/>
          <w:b/>
          <w:bCs/>
          <w:sz w:val="24"/>
          <w:szCs w:val="24"/>
        </w:rPr>
        <w:t>:</w:t>
      </w:r>
      <w:r w:rsidRPr="00243E09">
        <w:rPr>
          <w:rFonts w:ascii="Calibri" w:eastAsia="DengXian" w:hAnsi="Calibri" w:cs="Calibri"/>
          <w:sz w:val="18"/>
          <w:szCs w:val="18"/>
        </w:rPr>
        <w:t xml:space="preserve"> </w:t>
      </w:r>
      <w:r w:rsidRPr="00243E09">
        <w:rPr>
          <w:rFonts w:ascii="Calibri" w:eastAsia="DengXian" w:hAnsi="Calibri" w:cs="Calibri"/>
          <w:sz w:val="24"/>
          <w:szCs w:val="24"/>
        </w:rPr>
        <w:t xml:space="preserve">XRD spectra of a titanium electrode before (black line) and after electrolysis (red line) at an applied potential of −0.6 V vs RHE for 2 hours at 25 </w:t>
      </w:r>
      <w:r w:rsidRPr="00243E09">
        <w:rPr>
          <w:rFonts w:ascii="Calibri" w:eastAsia="DengXian" w:hAnsi="Calibri" w:cs="Calibri"/>
          <w:sz w:val="24"/>
          <w:szCs w:val="24"/>
          <w:shd w:val="clear" w:color="auto" w:fill="FFFFFF"/>
        </w:rPr>
        <w:t>°C.</w:t>
      </w:r>
    </w:p>
    <w:p w14:paraId="29D690D4" w14:textId="77777777" w:rsidR="00DB379C" w:rsidRDefault="00DB379C" w:rsidP="00214209">
      <w:pPr>
        <w:rPr>
          <w:rFonts w:eastAsia="DengXian"/>
          <w:b/>
          <w:bCs/>
        </w:rPr>
      </w:pPr>
    </w:p>
    <w:p w14:paraId="6943DDFA" w14:textId="77777777" w:rsidR="00127C02" w:rsidRDefault="00127C02">
      <w:pPr>
        <w:rPr>
          <w:rFonts w:eastAsia="DengXian"/>
          <w:b/>
          <w:bCs/>
        </w:rPr>
      </w:pPr>
      <w:r>
        <w:rPr>
          <w:rFonts w:eastAsia="DengXian"/>
          <w:b/>
          <w:bCs/>
        </w:rPr>
        <w:br w:type="page"/>
      </w:r>
    </w:p>
    <w:p w14:paraId="413E920F" w14:textId="36F828D9" w:rsidR="00C0139F" w:rsidRPr="00214209" w:rsidRDefault="00C0139F" w:rsidP="00214209">
      <w:pPr>
        <w:rPr>
          <w:rFonts w:eastAsia="DengXian"/>
          <w:b/>
          <w:bCs/>
        </w:rPr>
      </w:pPr>
      <w:r w:rsidRPr="00214209">
        <w:rPr>
          <w:rFonts w:eastAsia="DengXian"/>
          <w:b/>
          <w:bCs/>
        </w:rPr>
        <w:lastRenderedPageBreak/>
        <w:t>X-ray Photoelectron Spectroscopy (XPS) Analysis</w:t>
      </w:r>
    </w:p>
    <w:p w14:paraId="2260C633" w14:textId="77777777" w:rsidR="00C0139F" w:rsidRPr="007B26F4" w:rsidRDefault="00C0139F" w:rsidP="00C0139F">
      <w:pPr>
        <w:rPr>
          <w:rFonts w:ascii="Calibri" w:hAnsi="Calibri" w:cs="Calibri"/>
        </w:rPr>
      </w:pPr>
    </w:p>
    <w:p w14:paraId="242028DC" w14:textId="376B6D87" w:rsidR="00243E09" w:rsidRPr="007B26F4" w:rsidRDefault="00C0139F" w:rsidP="00C0139F">
      <w:pPr>
        <w:jc w:val="center"/>
        <w:rPr>
          <w:rFonts w:ascii="Calibri" w:hAnsi="Calibri" w:cs="Calibri"/>
          <w:lang w:val="tr-TR"/>
        </w:rPr>
      </w:pPr>
      <w:r w:rsidRPr="007B26F4">
        <w:rPr>
          <w:rFonts w:ascii="Calibri" w:eastAsia="DengXian" w:hAnsi="Calibri" w:cs="Calibri"/>
          <w:noProof/>
        </w:rPr>
        <w:drawing>
          <wp:inline distT="0" distB="0" distL="0" distR="0" wp14:anchorId="2F559F46" wp14:editId="02CC01FF">
            <wp:extent cx="3705547" cy="3240000"/>
            <wp:effectExtent l="0" t="0" r="9525" b="0"/>
            <wp:docPr id="2135247192" name="Picture 1" descr="A graph of energy with red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47192" name="Picture 1" descr="A graph of energy with red and green lines&#10;&#10;Description automatically generated"/>
                    <pic:cNvPicPr/>
                  </pic:nvPicPr>
                  <pic:blipFill>
                    <a:blip r:embed="rId15"/>
                    <a:stretch>
                      <a:fillRect/>
                    </a:stretch>
                  </pic:blipFill>
                  <pic:spPr>
                    <a:xfrm>
                      <a:off x="0" y="0"/>
                      <a:ext cx="3705547" cy="3240000"/>
                    </a:xfrm>
                    <a:prstGeom prst="rect">
                      <a:avLst/>
                    </a:prstGeom>
                  </pic:spPr>
                </pic:pic>
              </a:graphicData>
            </a:graphic>
          </wp:inline>
        </w:drawing>
      </w:r>
    </w:p>
    <w:p w14:paraId="3E3468B0" w14:textId="277EE93D" w:rsidR="00214209" w:rsidRPr="007B26F4" w:rsidRDefault="00C0139F" w:rsidP="00C0139F">
      <w:pPr>
        <w:spacing w:line="276" w:lineRule="auto"/>
        <w:jc w:val="both"/>
        <w:rPr>
          <w:rFonts w:ascii="Calibri" w:eastAsia="DengXian" w:hAnsi="Calibri" w:cs="Calibri"/>
          <w:sz w:val="24"/>
          <w:szCs w:val="24"/>
          <w:shd w:val="clear" w:color="auto" w:fill="FFFFFF"/>
        </w:rPr>
      </w:pPr>
      <w:r w:rsidRPr="007B26F4">
        <w:rPr>
          <w:rFonts w:ascii="Calibri" w:eastAsia="DengXian" w:hAnsi="Calibri" w:cs="Calibri"/>
          <w:b/>
          <w:bCs/>
          <w:sz w:val="24"/>
          <w:szCs w:val="24"/>
        </w:rPr>
        <w:t>Figure S</w:t>
      </w:r>
      <w:r w:rsidRPr="007B26F4">
        <w:rPr>
          <w:rFonts w:ascii="Calibri" w:eastAsia="DengXian" w:hAnsi="Calibri" w:cs="Calibri"/>
          <w:b/>
          <w:bCs/>
          <w:sz w:val="24"/>
          <w:szCs w:val="24"/>
        </w:rPr>
        <w:fldChar w:fldCharType="begin"/>
      </w:r>
      <w:r w:rsidRPr="007B26F4">
        <w:rPr>
          <w:rFonts w:ascii="Calibri" w:eastAsia="DengXian" w:hAnsi="Calibri" w:cs="Calibri"/>
          <w:b/>
          <w:bCs/>
          <w:sz w:val="24"/>
          <w:szCs w:val="24"/>
        </w:rPr>
        <w:instrText xml:space="preserve"> SEQ Figure \* ARABIC </w:instrText>
      </w:r>
      <w:r w:rsidRPr="007B26F4">
        <w:rPr>
          <w:rFonts w:ascii="Calibri" w:eastAsia="DengXian" w:hAnsi="Calibri" w:cs="Calibri"/>
          <w:b/>
          <w:bCs/>
          <w:sz w:val="24"/>
          <w:szCs w:val="24"/>
        </w:rPr>
        <w:fldChar w:fldCharType="separate"/>
      </w:r>
      <w:r w:rsidRPr="007B26F4">
        <w:rPr>
          <w:rFonts w:ascii="Calibri" w:eastAsia="DengXian" w:hAnsi="Calibri" w:cs="Calibri"/>
          <w:b/>
          <w:bCs/>
          <w:noProof/>
          <w:sz w:val="24"/>
          <w:szCs w:val="24"/>
        </w:rPr>
        <w:t>8</w:t>
      </w:r>
      <w:r w:rsidRPr="007B26F4">
        <w:rPr>
          <w:rFonts w:ascii="Calibri" w:eastAsia="DengXian" w:hAnsi="Calibri" w:cs="Calibri"/>
          <w:b/>
          <w:bCs/>
          <w:sz w:val="24"/>
          <w:szCs w:val="24"/>
        </w:rPr>
        <w:fldChar w:fldCharType="end"/>
      </w:r>
      <w:r w:rsidRPr="007B26F4">
        <w:rPr>
          <w:rFonts w:ascii="Calibri" w:eastAsia="DengXian" w:hAnsi="Calibri" w:cs="Calibri"/>
          <w:b/>
          <w:bCs/>
          <w:sz w:val="24"/>
          <w:szCs w:val="24"/>
        </w:rPr>
        <w:t>:</w:t>
      </w:r>
      <w:r w:rsidRPr="007B26F4">
        <w:rPr>
          <w:rFonts w:ascii="Calibri" w:eastAsia="DengXian" w:hAnsi="Calibri" w:cs="Calibri"/>
          <w:noProof/>
          <w:sz w:val="24"/>
          <w:szCs w:val="24"/>
        </w:rPr>
        <w:t xml:space="preserve"> XPS survey spectra of a titanium electrode before (black line) and after electrolysis (red line) </w:t>
      </w:r>
      <w:r w:rsidRPr="007B26F4">
        <w:rPr>
          <w:rFonts w:ascii="Calibri" w:eastAsia="DengXian" w:hAnsi="Calibri" w:cs="Calibri"/>
          <w:sz w:val="24"/>
          <w:szCs w:val="24"/>
        </w:rPr>
        <w:t xml:space="preserve">at an applied potential of −0.6 V vs RHE for 2 hours at 25 </w:t>
      </w:r>
      <w:r w:rsidRPr="007B26F4">
        <w:rPr>
          <w:rFonts w:ascii="Calibri" w:eastAsia="DengXian" w:hAnsi="Calibri" w:cs="Calibri"/>
          <w:sz w:val="24"/>
          <w:szCs w:val="24"/>
          <w:shd w:val="clear" w:color="auto" w:fill="FFFFFF"/>
        </w:rPr>
        <w:t>°C.</w:t>
      </w:r>
    </w:p>
    <w:p w14:paraId="042AEF55" w14:textId="77777777" w:rsidR="00214209" w:rsidRDefault="00214209" w:rsidP="00214209">
      <w:pPr>
        <w:rPr>
          <w:rFonts w:eastAsia="DengXian Light"/>
          <w:b/>
          <w:bCs/>
        </w:rPr>
      </w:pPr>
      <w:bookmarkStart w:id="11" w:name="_Toc165105689"/>
      <w:bookmarkStart w:id="12" w:name="_Toc155907128"/>
    </w:p>
    <w:p w14:paraId="1BDDAA9B" w14:textId="77777777" w:rsidR="00127C02" w:rsidRDefault="00127C02">
      <w:pPr>
        <w:rPr>
          <w:rFonts w:eastAsia="DengXian Light"/>
          <w:b/>
          <w:bCs/>
        </w:rPr>
      </w:pPr>
      <w:r>
        <w:rPr>
          <w:rFonts w:eastAsia="DengXian Light"/>
          <w:b/>
          <w:bCs/>
        </w:rPr>
        <w:br w:type="page"/>
      </w:r>
    </w:p>
    <w:p w14:paraId="2348D711" w14:textId="6BA7B528" w:rsidR="0005522B" w:rsidRPr="00214209" w:rsidRDefault="0005522B" w:rsidP="00214209">
      <w:pPr>
        <w:rPr>
          <w:rFonts w:eastAsia="DengXian Light"/>
          <w:b/>
          <w:bCs/>
        </w:rPr>
      </w:pPr>
      <w:r w:rsidRPr="00214209">
        <w:rPr>
          <w:rFonts w:eastAsia="DengXian Light"/>
          <w:b/>
          <w:bCs/>
        </w:rPr>
        <w:lastRenderedPageBreak/>
        <w:t>Ellipsometry</w:t>
      </w:r>
      <w:bookmarkEnd w:id="11"/>
      <w:r w:rsidRPr="00214209">
        <w:rPr>
          <w:rFonts w:eastAsia="DengXian Light"/>
          <w:b/>
          <w:bCs/>
        </w:rPr>
        <w:t xml:space="preserve"> </w:t>
      </w:r>
      <w:bookmarkEnd w:id="12"/>
    </w:p>
    <w:p w14:paraId="3C6F7268" w14:textId="132DF570" w:rsidR="0005522B" w:rsidRPr="0005522B" w:rsidRDefault="0005522B" w:rsidP="001F219E">
      <w:pPr>
        <w:autoSpaceDE w:val="0"/>
        <w:autoSpaceDN w:val="0"/>
        <w:adjustRightInd w:val="0"/>
        <w:spacing w:after="0" w:line="360" w:lineRule="auto"/>
        <w:jc w:val="both"/>
        <w:rPr>
          <w:rFonts w:ascii="Calibri" w:eastAsia="DengXian" w:hAnsi="Calibri" w:cs="Calibri"/>
          <w:sz w:val="24"/>
          <w:szCs w:val="24"/>
        </w:rPr>
      </w:pPr>
      <w:bookmarkStart w:id="13" w:name="_Hlk150265387"/>
      <w:r w:rsidRPr="0005522B">
        <w:rPr>
          <w:rFonts w:ascii="Calibri" w:eastAsia="DengXian" w:hAnsi="Calibri" w:cs="Calibri"/>
          <w:sz w:val="24"/>
          <w:szCs w:val="24"/>
        </w:rPr>
        <w:t>Ellipsometry was performed to determine the thickness of the native oxides.</w:t>
      </w:r>
      <w:r w:rsidRPr="0005522B">
        <w:rPr>
          <w:rFonts w:ascii="Calibri" w:eastAsia="DengXian" w:hAnsi="Calibri" w:cs="Calibri"/>
          <w:sz w:val="24"/>
          <w:szCs w:val="24"/>
        </w:rPr>
        <w:fldChar w:fldCharType="begin" w:fldLock="1"/>
      </w:r>
      <w:r w:rsidRPr="0005522B">
        <w:rPr>
          <w:rFonts w:ascii="Calibri" w:eastAsia="DengXian" w:hAnsi="Calibri" w:cs="Calibri"/>
          <w:sz w:val="24"/>
          <w:szCs w:val="24"/>
        </w:rPr>
        <w:instrText>ADDIN CSL_CITATION {"citationItems":[{"id":"ITEM-1","itemData":{"DOI":"10.1007/s11998-010-9293-y","ISSN":"15470091","abstract":"In this study amorphous fluorinated coatings applied to anodized titanium surface have been investigated. A copolymer between tetrafluoroethylene and perfluoro-4-trifluoromethoxy-1,3-dioxole (AD60) and two perfluoropolyether containing ammonium phosphate (F10) or triethoxysilane (S10) functionalities have been tested. To estimate the color alteration of the anodized titanium surfaces due to the application of the coatings, spectrophotometric analyses have been made. Water and n-dodecane contact angles as well as apparent surface energy have been evaluated. Ellipsometry and atomic force microscopy data have been used to measure the thickness of the fluorinated coatings. A tailored mechanical preliminary test has also been explored to evaluate the adhesion of the coatings on the anodized titanium surface. The resistance to surface soiling with castor oil was also preliminarily investigated. The fluorinated coating tested on anodized titanium showed a low apparent surface energy and high chromatic aspect conservation, this is particularly evident for the titanium anodized coated with triethoxysilane functionalities fluoropolymers S10. © ACA and OCCA 2010.","author":[{"dropping-particle":"","family":"Navarrini","given":"Walter","non-dropping-particle":"","parse-names":false,"suffix":""},{"dropping-particle":"","family":"Brivio","given":"Tommaso","non-dropping-particle":"","parse-names":false,"suffix":""},{"dropping-particle":"","family":"Capobianco","given":"Dmitrij","non-dropping-particle":"","parse-names":false,"suffix":""},{"dropping-particle":"","family":"Diamanti","given":"Maria Vittoria","non-dropping-particle":"","parse-names":false,"suffix":""},{"dropping-particle":"","family":"Pedeferri","given":"Mariapia","non-dropping-particle":"","parse-names":false,"suffix":""},{"dropping-particle":"","family":"Magagnin","given":"Luca","non-dropping-particle":"","parse-names":false,"suffix":""},{"dropping-particle":"","family":"Resnati","given":"Giuseppe","non-dropping-particle":"","parse-names":false,"suffix":""}],"container-title":"Journal of Coatings Technology and Research","id":"ITEM-1","issue":"2","issued":{"date-parts":[["2011"]]},"page":"153-160","title":"Anti-fingerprints fluorinated coating for anodized titanium avoiding color alteration","type":"article-journal","volume":"8"},"uris":["http://www.mendeley.com/documents/?uuid=8f7e7617-8cec-41c5-a803-5434a838188e"]}],"mendeley":{"formattedCitation":"&lt;sup&gt;6&lt;/sup&gt;","plainTextFormattedCitation":"6","previouslyFormattedCitation":"&lt;sup&gt;6&lt;/sup&gt;"},"properties":{"noteIndex":0},"schema":"https://github.com/citation-style-language/schema/raw/master/csl-citation.json"}</w:instrText>
      </w:r>
      <w:r w:rsidRPr="0005522B">
        <w:rPr>
          <w:rFonts w:ascii="Calibri" w:eastAsia="DengXian" w:hAnsi="Calibri" w:cs="Calibri"/>
          <w:sz w:val="24"/>
          <w:szCs w:val="24"/>
        </w:rPr>
        <w:fldChar w:fldCharType="separate"/>
      </w:r>
      <w:r w:rsidRPr="0005522B">
        <w:rPr>
          <w:rFonts w:ascii="Calibri" w:eastAsia="DengXian" w:hAnsi="Calibri" w:cs="Calibri"/>
          <w:noProof/>
          <w:sz w:val="24"/>
          <w:szCs w:val="24"/>
          <w:vertAlign w:val="superscript"/>
        </w:rPr>
        <w:t>6</w:t>
      </w:r>
      <w:r w:rsidRPr="0005522B">
        <w:rPr>
          <w:rFonts w:ascii="Calibri" w:eastAsia="DengXian" w:hAnsi="Calibri" w:cs="Calibri"/>
          <w:sz w:val="24"/>
          <w:szCs w:val="24"/>
        </w:rPr>
        <w:fldChar w:fldCharType="end"/>
      </w:r>
      <w:r w:rsidRPr="0005522B">
        <w:rPr>
          <w:rFonts w:ascii="Calibri" w:eastAsia="DengXian" w:hAnsi="Calibri" w:cs="Calibri"/>
          <w:sz w:val="24"/>
          <w:szCs w:val="24"/>
        </w:rPr>
        <w:t xml:space="preserve"> </w:t>
      </w:r>
      <w:r w:rsidRPr="0005522B">
        <w:rPr>
          <w:rFonts w:ascii="Calibri" w:eastAsia="MinionPro-Regular" w:hAnsi="Calibri" w:cs="Calibri"/>
          <w:sz w:val="24"/>
          <w:szCs w:val="24"/>
        </w:rPr>
        <w:t xml:space="preserve">Ellipsometry was achieved using a variable-angle ellipsometer (M-2000XI Ellipsometer, J. A. </w:t>
      </w:r>
      <w:proofErr w:type="spellStart"/>
      <w:r w:rsidRPr="0005522B">
        <w:rPr>
          <w:rFonts w:ascii="Calibri" w:eastAsia="MinionPro-Regular" w:hAnsi="Calibri" w:cs="Calibri"/>
          <w:sz w:val="24"/>
          <w:szCs w:val="24"/>
        </w:rPr>
        <w:t>Woollam</w:t>
      </w:r>
      <w:proofErr w:type="spellEnd"/>
      <w:r w:rsidRPr="0005522B">
        <w:rPr>
          <w:rFonts w:ascii="Calibri" w:eastAsia="MinionPro-Regular" w:hAnsi="Calibri" w:cs="Calibri"/>
          <w:sz w:val="24"/>
          <w:szCs w:val="24"/>
        </w:rPr>
        <w:t xml:space="preserve">) to measure the amplitude and phase changes in the wavelength range 210-1690 nm at angles of incidence </w:t>
      </w:r>
      <w:r w:rsidRPr="0005522B">
        <w:rPr>
          <w:rFonts w:ascii="Calibri" w:eastAsia="DengXian" w:hAnsi="Calibri" w:cs="Calibri"/>
          <w:sz w:val="24"/>
          <w:szCs w:val="24"/>
        </w:rPr>
        <w:t>45</w:t>
      </w:r>
      <w:r w:rsidRPr="0005522B">
        <w:rPr>
          <w:rFonts w:ascii="Calibri" w:eastAsia="DengXian" w:hAnsi="Calibri" w:cs="Calibri"/>
          <w:color w:val="202124"/>
          <w:sz w:val="24"/>
          <w:szCs w:val="24"/>
          <w:shd w:val="clear" w:color="auto" w:fill="FFFFFF"/>
        </w:rPr>
        <w:t>°</w:t>
      </w:r>
      <w:r w:rsidRPr="0005522B">
        <w:rPr>
          <w:rFonts w:ascii="Calibri" w:eastAsia="MinionPro-Regular" w:hAnsi="Calibri" w:cs="Calibri"/>
          <w:sz w:val="24"/>
          <w:szCs w:val="24"/>
        </w:rPr>
        <w:t xml:space="preserve">, </w:t>
      </w:r>
      <w:r w:rsidRPr="0005522B">
        <w:rPr>
          <w:rFonts w:ascii="Calibri" w:eastAsia="DengXian" w:hAnsi="Calibri" w:cs="Calibri"/>
          <w:sz w:val="24"/>
          <w:szCs w:val="24"/>
        </w:rPr>
        <w:t>50</w:t>
      </w:r>
      <w:r w:rsidRPr="0005522B">
        <w:rPr>
          <w:rFonts w:ascii="Calibri" w:eastAsia="DengXian" w:hAnsi="Calibri" w:cs="Calibri"/>
          <w:color w:val="202124"/>
          <w:sz w:val="24"/>
          <w:szCs w:val="24"/>
          <w:shd w:val="clear" w:color="auto" w:fill="FFFFFF"/>
        </w:rPr>
        <w:t>°</w:t>
      </w:r>
      <w:r w:rsidRPr="0005522B">
        <w:rPr>
          <w:rFonts w:ascii="Calibri" w:eastAsia="MinionPro-Regular" w:hAnsi="Calibri" w:cs="Calibri"/>
          <w:sz w:val="24"/>
          <w:szCs w:val="24"/>
        </w:rPr>
        <w:t xml:space="preserve">, </w:t>
      </w:r>
      <w:r w:rsidRPr="0005522B">
        <w:rPr>
          <w:rFonts w:ascii="Calibri" w:eastAsia="DengXian" w:hAnsi="Calibri" w:cs="Calibri"/>
          <w:sz w:val="24"/>
          <w:szCs w:val="24"/>
        </w:rPr>
        <w:t>55</w:t>
      </w:r>
      <w:r w:rsidRPr="0005522B">
        <w:rPr>
          <w:rFonts w:ascii="Calibri" w:eastAsia="DengXian" w:hAnsi="Calibri" w:cs="Calibri"/>
          <w:color w:val="202124"/>
          <w:sz w:val="24"/>
          <w:szCs w:val="24"/>
          <w:shd w:val="clear" w:color="auto" w:fill="FFFFFF"/>
        </w:rPr>
        <w:t>°</w:t>
      </w:r>
      <w:r w:rsidRPr="0005522B">
        <w:rPr>
          <w:rFonts w:ascii="Calibri" w:eastAsia="MinionPro-Regular" w:hAnsi="Calibri" w:cs="Calibri"/>
          <w:sz w:val="24"/>
          <w:szCs w:val="24"/>
        </w:rPr>
        <w:t xml:space="preserve">, </w:t>
      </w:r>
      <w:r w:rsidRPr="0005522B">
        <w:rPr>
          <w:rFonts w:ascii="Calibri" w:eastAsia="DengXian" w:hAnsi="Calibri" w:cs="Calibri"/>
          <w:sz w:val="24"/>
          <w:szCs w:val="24"/>
        </w:rPr>
        <w:t>60</w:t>
      </w:r>
      <w:r w:rsidRPr="0005522B">
        <w:rPr>
          <w:rFonts w:ascii="Calibri" w:eastAsia="DengXian" w:hAnsi="Calibri" w:cs="Calibri"/>
          <w:color w:val="202124"/>
          <w:sz w:val="24"/>
          <w:szCs w:val="24"/>
          <w:shd w:val="clear" w:color="auto" w:fill="FFFFFF"/>
        </w:rPr>
        <w:t>°</w:t>
      </w:r>
      <w:r w:rsidRPr="0005522B">
        <w:rPr>
          <w:rFonts w:ascii="Calibri" w:eastAsia="MinionPro-Regular" w:hAnsi="Calibri" w:cs="Calibri"/>
          <w:sz w:val="24"/>
          <w:szCs w:val="24"/>
        </w:rPr>
        <w:t xml:space="preserve">, </w:t>
      </w:r>
      <w:r w:rsidRPr="0005522B">
        <w:rPr>
          <w:rFonts w:ascii="Calibri" w:eastAsia="DengXian" w:hAnsi="Calibri" w:cs="Calibri"/>
          <w:sz w:val="24"/>
          <w:szCs w:val="24"/>
        </w:rPr>
        <w:t>65</w:t>
      </w:r>
      <w:r w:rsidRPr="0005522B">
        <w:rPr>
          <w:rFonts w:ascii="Calibri" w:eastAsia="DengXian" w:hAnsi="Calibri" w:cs="Calibri"/>
          <w:color w:val="202124"/>
          <w:sz w:val="24"/>
          <w:szCs w:val="24"/>
          <w:shd w:val="clear" w:color="auto" w:fill="FFFFFF"/>
        </w:rPr>
        <w:t>°</w:t>
      </w:r>
      <w:r w:rsidRPr="0005522B">
        <w:rPr>
          <w:rFonts w:ascii="Calibri" w:eastAsia="MinionPro-Regular" w:hAnsi="Calibri" w:cs="Calibri"/>
          <w:sz w:val="24"/>
          <w:szCs w:val="24"/>
        </w:rPr>
        <w:t xml:space="preserve">and </w:t>
      </w:r>
      <w:r w:rsidRPr="0005522B">
        <w:rPr>
          <w:rFonts w:ascii="Calibri" w:eastAsia="DengXian" w:hAnsi="Calibri" w:cs="Calibri"/>
          <w:sz w:val="24"/>
          <w:szCs w:val="24"/>
        </w:rPr>
        <w:t>70</w:t>
      </w:r>
      <w:r w:rsidRPr="0005522B">
        <w:rPr>
          <w:rFonts w:ascii="Calibri" w:eastAsia="DengXian" w:hAnsi="Calibri" w:cs="Calibri"/>
          <w:color w:val="202124"/>
          <w:sz w:val="24"/>
          <w:szCs w:val="24"/>
          <w:shd w:val="clear" w:color="auto" w:fill="FFFFFF"/>
        </w:rPr>
        <w:t>°</w:t>
      </w:r>
      <w:r w:rsidRPr="0005522B">
        <w:rPr>
          <w:rFonts w:ascii="Calibri" w:eastAsia="MinionPro-Regular" w:hAnsi="Calibri" w:cs="Calibri"/>
          <w:sz w:val="24"/>
          <w:szCs w:val="24"/>
        </w:rPr>
        <w:t xml:space="preserve">. This was done at 9 different positions on the sample before and after electrolysis. The ellipsometry data was fitted with a Ti substrate (Lorentz) and the native oxide was fitted with a B-Spline, from which the thickness was extracted from the fitting. A fitting model for one of the positions on the sample compared to experimental psi and delta at different angles </w:t>
      </w:r>
      <w:r w:rsidRPr="00F579F1">
        <w:rPr>
          <w:rFonts w:ascii="Calibri" w:eastAsia="MinionPro-Regular" w:hAnsi="Calibri" w:cs="Calibri"/>
          <w:sz w:val="24"/>
          <w:szCs w:val="24"/>
        </w:rPr>
        <w:t>before and after electrolysis is shown in Figure S9.</w:t>
      </w:r>
      <w:bookmarkEnd w:id="13"/>
      <w:r w:rsidRPr="00F579F1">
        <w:rPr>
          <w:rFonts w:ascii="Calibri" w:eastAsia="DengXian" w:hAnsi="Calibri" w:cs="Calibri"/>
          <w:sz w:val="24"/>
          <w:szCs w:val="24"/>
        </w:rPr>
        <w:t xml:space="preserve"> The ellipsometry data suggest a decrease in the thickness of the native oxide after electrolysis, as shown in Table S2. </w:t>
      </w:r>
      <w:bookmarkStart w:id="14" w:name="_Hlk165498421"/>
      <w:r w:rsidRPr="00F579F1">
        <w:rPr>
          <w:rFonts w:ascii="Calibri" w:eastAsia="DengXian" w:hAnsi="Calibri" w:cs="Calibri"/>
          <w:sz w:val="24"/>
          <w:szCs w:val="24"/>
        </w:rPr>
        <w:t>The reduction in the thickness of the native oxides of titanium after electrolysis could be due to the etching of the oxides by the acid,</w:t>
      </w:r>
      <w:r w:rsidRPr="00F579F1">
        <w:rPr>
          <w:rFonts w:ascii="Calibri" w:eastAsia="DengXian" w:hAnsi="Calibri" w:cs="Calibri"/>
          <w:sz w:val="24"/>
          <w:szCs w:val="24"/>
        </w:rPr>
        <w:fldChar w:fldCharType="begin" w:fldLock="1"/>
      </w:r>
      <w:r w:rsidRPr="00F579F1">
        <w:rPr>
          <w:rFonts w:ascii="Calibri" w:eastAsia="DengXian" w:hAnsi="Calibri" w:cs="Calibri"/>
          <w:sz w:val="24"/>
          <w:szCs w:val="24"/>
        </w:rPr>
        <w:instrText>ADDIN CSL_CITATION {"citationItems":[{"id":"ITEM-1","itemData":{"DOI":"10.1039/d1ra01655e","ISSN":"20462069","abstract":"Deep Eutectic Solvents (DESs) are “green” competitors for some conventional plating baths and electrolytes used for surface modification. Their use allows a material to be obtained with a structure different from that observed in conventional plating or finishing technologies. In this work the titanium anodizing process was investigated in a bath based on a choline dihydrogencitrate salt and oxalic acid (1 : 1 molar ratio) green solvent. Titanium anodized at the lowest voltage applied (10 V) was a deep yellow color, which turned to deep blue at 30 V. The surface morphology and topography of titanium, both anodized and untreated, were monitored by optical, scanning electron (SEM and HR-SEM) and atomic force (AFM) microscopy. Anodizing at 10 V produced a fine granular morphology of the oxide layer, while anodizing at 30 V led to the formation of a probably thicker and quite uneven oxide layer, characterized by a distinct and coarse granular morphology. The average size of the micro-nodules was higher than those at 10 V and porous structures have been also identified. According to X-ray photoelectron spectroscopy (XPS) the stoichiometric TiO2, regardless of the applied voltage during anodizing, was practically the only component of the oxide layer produced on titanium in the DES bath. At 10 V, the oxide layer was thicker (&gt;10 nm) than the natural Ti passive layer (approx. 2.2 nm), which, apart from TiO2, also contained oxides of titanium at lower oxidation states,i.e.+2 and +3. Moreover, the XPS technique was supported by electrochemical impedance spectroscopy (EIS), especially in the context of the structure of the oxide layer and its interaction with a corrosive environment. The corrosion resistance of anodized titanium was assessed in 0.05 mol dm−3solution of NaCl by the linear polarization resistance (LPR) technique and polarization curves. During interpretation of the impedance spectra, the layers produced by the anodizing process were described using the two-layer model. It was assumed that the inner layer formed directly on the surface of metallic titanium was responsible for the barrier properties (resistance of 2.8 MΩ cm2). The porous outer layer formed on it has a much lower corrosion resistance,i.e.800-1300 Ω cm2","author":[{"dropping-particle":"","family":"Winiarski","given":"Juliusz","non-dropping-particle":"","parse-names":false,"suffix":""},{"dropping-particle":"","family":"Niciejewska","given":"Anna","non-dropping-particle":"","parse-names":false,"suffix":""},{"dropping-particle":"","family":"Górnik","given":"Monika","non-dropping-particle":"","parse-names":false,"suffix":""},{"dropping-particle":"","family":"Jakubowski","given":"Jakub","non-dropping-particle":"","parse-names":false,"suffix":""},{"dropping-particle":"","family":"Tylus","given":"Włodzimierz","non-dropping-particle":"","parse-names":false,"suffix":""},{"dropping-particle":"","family":"Szczygieł","given":"Bogdan","non-dropping-particle":"","parse-names":false,"suffix":""}],"container-title":"RSC Advances","id":"ITEM-1","issue":"34","issued":{"date-parts":[["2021"]]},"page":"21104-21115","title":"Titanium anodizing in a choline dihydrogencitrate salt-oxalic acid deep eutectic solvent: a step towards green chemistry in surface finishing of titanium and its alloys","type":"article-journal","volume":"11"},"uris":["http://www.mendeley.com/documents/?uuid=7b24c3b4-e411-4624-8790-ce69362f0bf1"]},{"id":"ITEM-2","itemData":{"DOI":"10.1016/j.msec.2020.111065","ISSN":"18730191","PMID":"32600690","abstract":"The impact of four pre-treatment techniques on the surface morphology and chemistry, residual stress, mechanical properties, corrosion resistance in a physiological saline solution and cell colonization of commercially pure titanium is examined in detail. Mechanical polishing, electrochemical etching, chemical etching in Kroll's reagent, and ion sputter etching with argon ions were applied. Surface morphologies reflect the nature of surface layer removal. Significant roughening of the surface and a characteristic microtopology become apparent as a result of the sensitivity of chemical and ion sputter etching to the grain orientation. The hardness in the near surface region was controlled by the amount of residual stress. Etching of the stressed surface layer led to a reduction in residual stress and surface hardness. A compact passivation layer composed of TiO, TiO2 and Ti2O3 native oxides imparted high corrosion resistance to the surface after mechanical polishing, chemical and electrochemical etching. The ion sputter etched surface showed substantially reduced corrosion resistance, where the corrosion process was controlled by electron transfer. The specific topology affected the adhesion of the cell to the surface rather than the cell area coverage. The cell area coverage increased with the corrosion stability of the surface.","author":[{"dropping-particle":"","family":"Vlcak","given":"Petr","non-dropping-particle":"","parse-names":false,"suffix":""},{"dropping-particle":"","family":"Fojt","given":"Jaroslav","non-dropping-particle":"","parse-names":false,"suffix":""},{"dropping-particle":"","family":"Drahokoupil","given":"Jan","non-dropping-particle":"","parse-names":false,"suffix":""},{"dropping-particle":"","family":"Brezina","given":"Vitezslav","non-dropping-particle":"","parse-names":false,"suffix":""},{"dropping-particle":"","family":"Sepitka","given":"Josef","non-dropping-particle":"","parse-names":false,"suffix":""},{"dropping-particle":"","family":"Horazdovsky","given":"Tomas","non-dropping-particle":"","parse-names":false,"suffix":""},{"dropping-particle":"","family":"Miksovsky","given":"Jan","non-dropping-particle":"","parse-names":false,"suffix":""},{"dropping-particle":"","family":"Cerny","given":"Frantisek","non-dropping-particle":"","parse-names":false,"suffix":""},{"dropping-particle":"","family":"Lebeda","given":"Miroslav","non-dropping-particle":"","parse-names":false,"suffix":""},{"dropping-particle":"","family":"Haubner","given":"Michal","non-dropping-particle":"","parse-names":false,"suffix":""}],"container-title":"Materials Science and Engineering C","id":"ITEM-2","issue":"January","issued":{"date-parts":[["2020"]]},"page":"111065","publisher":"Elsevier","title":"Influence of surface pre-treatment with mechanical polishing, chemical, electrochemical and ion sputter etching on the surface properties, corrosion resistance and MG-63 cell colonization of commercially pure titanium","type":"article-journal","volume":"115"},"uris":["http://www.mendeley.com/documents/?uuid=5ed0b61f-efc0-4983-bc86-ac2525ea1986"]}],"mendeley":{"formattedCitation":"&lt;sup&gt;7,8&lt;/sup&gt;","plainTextFormattedCitation":"7,8","previouslyFormattedCitation":"&lt;sup&gt;7,8&lt;/sup&gt;"},"properties":{"noteIndex":0},"schema":"https://github.com/citation-style-language/schema/raw/master/csl-citation.json"}</w:instrText>
      </w:r>
      <w:r w:rsidRPr="00F579F1">
        <w:rPr>
          <w:rFonts w:ascii="Calibri" w:eastAsia="DengXian" w:hAnsi="Calibri" w:cs="Calibri"/>
          <w:sz w:val="24"/>
          <w:szCs w:val="24"/>
        </w:rPr>
        <w:fldChar w:fldCharType="separate"/>
      </w:r>
      <w:r w:rsidRPr="00F579F1">
        <w:rPr>
          <w:rFonts w:ascii="Calibri" w:eastAsia="DengXian" w:hAnsi="Calibri" w:cs="Calibri"/>
          <w:noProof/>
          <w:sz w:val="24"/>
          <w:szCs w:val="24"/>
          <w:vertAlign w:val="superscript"/>
        </w:rPr>
        <w:t>7,8</w:t>
      </w:r>
      <w:r w:rsidRPr="00F579F1">
        <w:rPr>
          <w:rFonts w:ascii="Calibri" w:eastAsia="DengXian" w:hAnsi="Calibri" w:cs="Calibri"/>
          <w:sz w:val="24"/>
          <w:szCs w:val="24"/>
        </w:rPr>
        <w:fldChar w:fldCharType="end"/>
      </w:r>
      <w:r w:rsidRPr="00F579F1">
        <w:rPr>
          <w:rFonts w:ascii="Calibri" w:eastAsia="DengXian" w:hAnsi="Calibri" w:cs="Calibri"/>
          <w:sz w:val="24"/>
          <w:szCs w:val="24"/>
        </w:rPr>
        <w:t xml:space="preserve">  or else to the reduction of part of the oxide to the metal during electrolysis</w:t>
      </w:r>
      <w:bookmarkEnd w:id="14"/>
      <w:r w:rsidRPr="00F579F1">
        <w:rPr>
          <w:rFonts w:ascii="Calibri" w:eastAsia="DengXian" w:hAnsi="Calibri" w:cs="Calibri"/>
          <w:sz w:val="24"/>
          <w:szCs w:val="24"/>
        </w:rPr>
        <w:t>.</w:t>
      </w:r>
    </w:p>
    <w:p w14:paraId="1A84C159" w14:textId="32DC7EBE" w:rsidR="0005522B" w:rsidRPr="007B26F4" w:rsidRDefault="0005522B" w:rsidP="0005522B">
      <w:pPr>
        <w:autoSpaceDE w:val="0"/>
        <w:autoSpaceDN w:val="0"/>
        <w:adjustRightInd w:val="0"/>
        <w:spacing w:after="0" w:line="240" w:lineRule="auto"/>
        <w:jc w:val="center"/>
        <w:rPr>
          <w:rFonts w:ascii="Calibri" w:eastAsia="DengXian" w:hAnsi="Calibri" w:cs="Calibri"/>
          <w:sz w:val="24"/>
          <w:szCs w:val="24"/>
        </w:rPr>
      </w:pPr>
      <w:r w:rsidRPr="007B26F4">
        <w:rPr>
          <w:rFonts w:ascii="Calibri" w:eastAsia="DengXian" w:hAnsi="Calibri" w:cs="Calibri"/>
          <w:noProof/>
        </w:rPr>
        <w:drawing>
          <wp:inline distT="0" distB="0" distL="0" distR="0" wp14:anchorId="4FF6FD37" wp14:editId="133FF5C4">
            <wp:extent cx="3583718" cy="4356000"/>
            <wp:effectExtent l="0" t="0" r="0" b="6985"/>
            <wp:docPr id="1606744861" name="Picture 2" descr="A graph of a model and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44861" name="Picture 2" descr="A graph of a model and a mode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3718" cy="4356000"/>
                    </a:xfrm>
                    <a:prstGeom prst="rect">
                      <a:avLst/>
                    </a:prstGeom>
                    <a:noFill/>
                    <a:ln>
                      <a:noFill/>
                    </a:ln>
                  </pic:spPr>
                </pic:pic>
              </a:graphicData>
            </a:graphic>
          </wp:inline>
        </w:drawing>
      </w:r>
    </w:p>
    <w:p w14:paraId="74A76C1F" w14:textId="77777777" w:rsidR="0005522B" w:rsidRPr="0005522B" w:rsidRDefault="0005522B" w:rsidP="0005522B">
      <w:pPr>
        <w:autoSpaceDE w:val="0"/>
        <w:autoSpaceDN w:val="0"/>
        <w:adjustRightInd w:val="0"/>
        <w:spacing w:after="0" w:line="240" w:lineRule="auto"/>
        <w:jc w:val="both"/>
        <w:rPr>
          <w:rFonts w:ascii="Calibri" w:eastAsia="DengXian" w:hAnsi="Calibri" w:cs="Calibri"/>
          <w:sz w:val="24"/>
          <w:szCs w:val="24"/>
        </w:rPr>
      </w:pPr>
    </w:p>
    <w:p w14:paraId="307A18F5" w14:textId="69F54252" w:rsidR="00127C02" w:rsidRPr="001F219E" w:rsidRDefault="0005522B" w:rsidP="001F219E">
      <w:pPr>
        <w:spacing w:line="276" w:lineRule="auto"/>
        <w:rPr>
          <w:rFonts w:ascii="Calibri" w:eastAsia="DengXian" w:hAnsi="Calibri" w:cs="Calibri"/>
          <w:noProof/>
          <w:sz w:val="24"/>
          <w:szCs w:val="24"/>
        </w:rPr>
      </w:pPr>
      <w:r w:rsidRPr="0005522B">
        <w:rPr>
          <w:rFonts w:ascii="Calibri" w:eastAsia="DengXian" w:hAnsi="Calibri" w:cs="Calibri"/>
          <w:b/>
          <w:bCs/>
          <w:sz w:val="24"/>
          <w:szCs w:val="24"/>
        </w:rPr>
        <w:t>Figure S</w:t>
      </w:r>
      <w:r w:rsidRPr="0005522B">
        <w:rPr>
          <w:rFonts w:ascii="Calibri" w:eastAsia="DengXian" w:hAnsi="Calibri" w:cs="Calibri"/>
          <w:b/>
          <w:bCs/>
          <w:sz w:val="24"/>
          <w:szCs w:val="24"/>
        </w:rPr>
        <w:fldChar w:fldCharType="begin"/>
      </w:r>
      <w:r w:rsidRPr="0005522B">
        <w:rPr>
          <w:rFonts w:ascii="Calibri" w:eastAsia="DengXian" w:hAnsi="Calibri" w:cs="Calibri"/>
          <w:b/>
          <w:bCs/>
          <w:sz w:val="24"/>
          <w:szCs w:val="24"/>
        </w:rPr>
        <w:instrText xml:space="preserve"> SEQ Figure \* ARABIC </w:instrText>
      </w:r>
      <w:r w:rsidRPr="0005522B">
        <w:rPr>
          <w:rFonts w:ascii="Calibri" w:eastAsia="DengXian" w:hAnsi="Calibri" w:cs="Calibri"/>
          <w:b/>
          <w:bCs/>
          <w:sz w:val="24"/>
          <w:szCs w:val="24"/>
        </w:rPr>
        <w:fldChar w:fldCharType="separate"/>
      </w:r>
      <w:r w:rsidRPr="0005522B">
        <w:rPr>
          <w:rFonts w:ascii="Calibri" w:eastAsia="DengXian" w:hAnsi="Calibri" w:cs="Calibri"/>
          <w:b/>
          <w:bCs/>
          <w:noProof/>
          <w:sz w:val="24"/>
          <w:szCs w:val="24"/>
        </w:rPr>
        <w:t>9</w:t>
      </w:r>
      <w:r w:rsidRPr="0005522B">
        <w:rPr>
          <w:rFonts w:ascii="Calibri" w:eastAsia="DengXian" w:hAnsi="Calibri" w:cs="Calibri"/>
          <w:b/>
          <w:bCs/>
          <w:sz w:val="24"/>
          <w:szCs w:val="24"/>
        </w:rPr>
        <w:fldChar w:fldCharType="end"/>
      </w:r>
      <w:r w:rsidRPr="0005522B">
        <w:rPr>
          <w:rFonts w:ascii="Calibri" w:eastAsia="DengXian" w:hAnsi="Calibri" w:cs="Calibri"/>
          <w:b/>
          <w:bCs/>
          <w:sz w:val="24"/>
          <w:szCs w:val="24"/>
        </w:rPr>
        <w:t>:</w:t>
      </w:r>
      <w:r w:rsidRPr="0005522B">
        <w:rPr>
          <w:rFonts w:ascii="Calibri" w:eastAsia="DengXian" w:hAnsi="Calibri" w:cs="Calibri"/>
        </w:rPr>
        <w:t xml:space="preserve"> </w:t>
      </w:r>
      <w:r w:rsidRPr="0005522B">
        <w:rPr>
          <w:rFonts w:ascii="Calibri" w:eastAsia="DengXian" w:hAnsi="Calibri" w:cs="Calibri"/>
          <w:noProof/>
          <w:sz w:val="24"/>
          <w:szCs w:val="24"/>
        </w:rPr>
        <w:t xml:space="preserve">The ellipsometry fitting model (black) and experimentally measured Ψ (psi) and Δ (delta) (red and green, respectively) at different angles for the titanium electrode (a) before and (b) after electrolysis. </w:t>
      </w:r>
    </w:p>
    <w:p w14:paraId="711E3002" w14:textId="5637A9CE" w:rsidR="0005522B" w:rsidRPr="0005522B" w:rsidRDefault="0005522B" w:rsidP="0005522B">
      <w:pPr>
        <w:jc w:val="both"/>
        <w:rPr>
          <w:rFonts w:ascii="Calibri" w:eastAsia="DengXian" w:hAnsi="Calibri" w:cs="Calibri"/>
          <w:iCs/>
          <w:sz w:val="24"/>
          <w:szCs w:val="24"/>
        </w:rPr>
      </w:pPr>
      <w:r w:rsidRPr="0005522B">
        <w:rPr>
          <w:rFonts w:ascii="Calibri" w:eastAsia="DengXian" w:hAnsi="Calibri" w:cs="Calibri"/>
          <w:b/>
          <w:bCs/>
          <w:iCs/>
          <w:sz w:val="24"/>
          <w:szCs w:val="24"/>
        </w:rPr>
        <w:lastRenderedPageBreak/>
        <w:t>Table S</w:t>
      </w:r>
      <w:r w:rsidRPr="0005522B">
        <w:rPr>
          <w:rFonts w:ascii="Calibri" w:eastAsia="DengXian" w:hAnsi="Calibri" w:cs="Calibri"/>
          <w:b/>
          <w:bCs/>
          <w:iCs/>
          <w:sz w:val="24"/>
          <w:szCs w:val="24"/>
        </w:rPr>
        <w:fldChar w:fldCharType="begin"/>
      </w:r>
      <w:r w:rsidRPr="0005522B">
        <w:rPr>
          <w:rFonts w:ascii="Calibri" w:eastAsia="DengXian" w:hAnsi="Calibri" w:cs="Calibri"/>
          <w:b/>
          <w:bCs/>
          <w:iCs/>
          <w:sz w:val="24"/>
          <w:szCs w:val="24"/>
        </w:rPr>
        <w:instrText xml:space="preserve"> SEQ Table \* ARABIC </w:instrText>
      </w:r>
      <w:r w:rsidRPr="0005522B">
        <w:rPr>
          <w:rFonts w:ascii="Calibri" w:eastAsia="DengXian" w:hAnsi="Calibri" w:cs="Calibri"/>
          <w:b/>
          <w:bCs/>
          <w:iCs/>
          <w:sz w:val="24"/>
          <w:szCs w:val="24"/>
        </w:rPr>
        <w:fldChar w:fldCharType="separate"/>
      </w:r>
      <w:r w:rsidRPr="007B26F4">
        <w:rPr>
          <w:rFonts w:ascii="Calibri" w:eastAsia="DengXian" w:hAnsi="Calibri" w:cs="Calibri"/>
          <w:b/>
          <w:bCs/>
          <w:iCs/>
          <w:noProof/>
          <w:sz w:val="24"/>
          <w:szCs w:val="24"/>
        </w:rPr>
        <w:t>2</w:t>
      </w:r>
      <w:r w:rsidRPr="0005522B">
        <w:rPr>
          <w:rFonts w:ascii="Calibri" w:eastAsia="DengXian" w:hAnsi="Calibri" w:cs="Calibri"/>
          <w:iCs/>
          <w:sz w:val="24"/>
          <w:szCs w:val="24"/>
        </w:rPr>
        <w:fldChar w:fldCharType="end"/>
      </w:r>
      <w:r w:rsidRPr="0005522B">
        <w:rPr>
          <w:rFonts w:ascii="Calibri" w:eastAsia="DengXian" w:hAnsi="Calibri" w:cs="Calibri"/>
          <w:b/>
          <w:bCs/>
          <w:iCs/>
          <w:sz w:val="24"/>
          <w:szCs w:val="24"/>
        </w:rPr>
        <w:t>:</w:t>
      </w:r>
      <w:r w:rsidRPr="0005522B">
        <w:rPr>
          <w:rFonts w:ascii="Calibri" w:eastAsia="DengXian" w:hAnsi="Calibri" w:cs="Calibri"/>
          <w:iCs/>
          <w:sz w:val="24"/>
          <w:szCs w:val="24"/>
        </w:rPr>
        <w:t xml:space="preserve"> The average thickness of the native oxides of Ti obtained from the ellipsometry data across all the angles analysed.</w:t>
      </w:r>
    </w:p>
    <w:tbl>
      <w:tblPr>
        <w:tblW w:w="0" w:type="auto"/>
        <w:jc w:val="center"/>
        <w:tblLook w:val="04A0" w:firstRow="1" w:lastRow="0" w:firstColumn="1" w:lastColumn="0" w:noHBand="0" w:noVBand="1"/>
      </w:tblPr>
      <w:tblGrid>
        <w:gridCol w:w="4086"/>
        <w:gridCol w:w="4003"/>
      </w:tblGrid>
      <w:tr w:rsidR="0005522B" w:rsidRPr="0005522B" w14:paraId="449E5DC9" w14:textId="77777777" w:rsidTr="0005522B">
        <w:trPr>
          <w:trHeight w:val="487"/>
          <w:jc w:val="center"/>
        </w:trPr>
        <w:tc>
          <w:tcPr>
            <w:tcW w:w="4086" w:type="dxa"/>
            <w:tcBorders>
              <w:top w:val="single" w:sz="12" w:space="0" w:color="auto"/>
              <w:bottom w:val="single" w:sz="4" w:space="0" w:color="auto"/>
            </w:tcBorders>
            <w:shd w:val="clear" w:color="auto" w:fill="E7E6E6"/>
          </w:tcPr>
          <w:p w14:paraId="2E249EA9" w14:textId="77777777" w:rsidR="0005522B" w:rsidRPr="0005522B" w:rsidRDefault="0005522B" w:rsidP="0005522B">
            <w:pPr>
              <w:jc w:val="both"/>
              <w:rPr>
                <w:rFonts w:ascii="Calibri" w:eastAsia="DengXian" w:hAnsi="Calibri" w:cs="Calibri"/>
                <w:b/>
                <w:bCs/>
                <w:iCs/>
                <w:sz w:val="24"/>
                <w:szCs w:val="24"/>
              </w:rPr>
            </w:pPr>
            <w:r w:rsidRPr="0005522B">
              <w:rPr>
                <w:rFonts w:ascii="Calibri" w:eastAsia="DengXian" w:hAnsi="Calibri" w:cs="Calibri"/>
                <w:b/>
                <w:bCs/>
                <w:iCs/>
                <w:sz w:val="24"/>
                <w:szCs w:val="24"/>
              </w:rPr>
              <w:t>Electrode</w:t>
            </w:r>
          </w:p>
        </w:tc>
        <w:tc>
          <w:tcPr>
            <w:tcW w:w="4003" w:type="dxa"/>
            <w:tcBorders>
              <w:top w:val="single" w:sz="12" w:space="0" w:color="auto"/>
              <w:bottom w:val="single" w:sz="4" w:space="0" w:color="auto"/>
            </w:tcBorders>
            <w:shd w:val="clear" w:color="auto" w:fill="E7E6E6"/>
          </w:tcPr>
          <w:p w14:paraId="4DE77C74" w14:textId="77777777" w:rsidR="0005522B" w:rsidRPr="0005522B" w:rsidRDefault="0005522B" w:rsidP="0005522B">
            <w:pPr>
              <w:jc w:val="both"/>
              <w:rPr>
                <w:rFonts w:ascii="Calibri" w:eastAsia="DengXian" w:hAnsi="Calibri" w:cs="Calibri"/>
                <w:iCs/>
                <w:sz w:val="24"/>
                <w:szCs w:val="24"/>
              </w:rPr>
            </w:pPr>
            <w:r w:rsidRPr="0005522B">
              <w:rPr>
                <w:rFonts w:ascii="Calibri" w:eastAsia="DengXian" w:hAnsi="Calibri" w:cs="Calibri"/>
                <w:b/>
                <w:bCs/>
                <w:iCs/>
                <w:sz w:val="24"/>
                <w:szCs w:val="24"/>
              </w:rPr>
              <w:t>Thickness of the native oxides (nm)</w:t>
            </w:r>
          </w:p>
        </w:tc>
      </w:tr>
      <w:tr w:rsidR="0005522B" w:rsidRPr="0005522B" w14:paraId="2D20E682" w14:textId="77777777" w:rsidTr="0067430A">
        <w:trPr>
          <w:trHeight w:val="433"/>
          <w:jc w:val="center"/>
        </w:trPr>
        <w:tc>
          <w:tcPr>
            <w:tcW w:w="4086" w:type="dxa"/>
            <w:tcBorders>
              <w:top w:val="single" w:sz="4" w:space="0" w:color="auto"/>
            </w:tcBorders>
          </w:tcPr>
          <w:p w14:paraId="0A80B43A" w14:textId="77777777" w:rsidR="0005522B" w:rsidRPr="0005522B" w:rsidRDefault="0005522B" w:rsidP="0005522B">
            <w:pPr>
              <w:jc w:val="both"/>
              <w:rPr>
                <w:rFonts w:ascii="Calibri" w:eastAsia="DengXian" w:hAnsi="Calibri" w:cs="Calibri"/>
                <w:iCs/>
                <w:sz w:val="24"/>
                <w:szCs w:val="24"/>
              </w:rPr>
            </w:pPr>
            <w:r w:rsidRPr="0005522B">
              <w:rPr>
                <w:rFonts w:ascii="Calibri" w:eastAsia="DengXian" w:hAnsi="Calibri" w:cs="Calibri"/>
                <w:iCs/>
                <w:sz w:val="24"/>
                <w:szCs w:val="24"/>
              </w:rPr>
              <w:t>Before electrolysis</w:t>
            </w:r>
          </w:p>
        </w:tc>
        <w:tc>
          <w:tcPr>
            <w:tcW w:w="4003" w:type="dxa"/>
            <w:tcBorders>
              <w:top w:val="single" w:sz="4" w:space="0" w:color="auto"/>
            </w:tcBorders>
          </w:tcPr>
          <w:p w14:paraId="068EBE23" w14:textId="77777777" w:rsidR="0005522B" w:rsidRPr="0005522B" w:rsidRDefault="0005522B" w:rsidP="0005522B">
            <w:pPr>
              <w:jc w:val="center"/>
              <w:rPr>
                <w:rFonts w:ascii="Calibri" w:eastAsia="DengXian" w:hAnsi="Calibri" w:cs="Calibri"/>
                <w:iCs/>
                <w:sz w:val="24"/>
                <w:szCs w:val="24"/>
              </w:rPr>
            </w:pPr>
            <w:r w:rsidRPr="0005522B">
              <w:rPr>
                <w:rFonts w:ascii="Calibri" w:eastAsia="DengXian" w:hAnsi="Calibri" w:cs="Calibri"/>
                <w:iCs/>
                <w:sz w:val="24"/>
                <w:szCs w:val="24"/>
              </w:rPr>
              <w:t>48.4 ± 0.4</w:t>
            </w:r>
          </w:p>
        </w:tc>
      </w:tr>
      <w:tr w:rsidR="0005522B" w:rsidRPr="0005522B" w14:paraId="4BC16CB4" w14:textId="77777777" w:rsidTr="0067430A">
        <w:trPr>
          <w:trHeight w:val="363"/>
          <w:jc w:val="center"/>
        </w:trPr>
        <w:tc>
          <w:tcPr>
            <w:tcW w:w="4086" w:type="dxa"/>
            <w:tcBorders>
              <w:bottom w:val="single" w:sz="4" w:space="0" w:color="auto"/>
            </w:tcBorders>
          </w:tcPr>
          <w:p w14:paraId="6237DFFE" w14:textId="77777777" w:rsidR="0005522B" w:rsidRPr="0005522B" w:rsidRDefault="0005522B" w:rsidP="0005522B">
            <w:pPr>
              <w:jc w:val="both"/>
              <w:rPr>
                <w:rFonts w:ascii="Calibri" w:eastAsia="DengXian" w:hAnsi="Calibri" w:cs="Calibri"/>
                <w:iCs/>
                <w:sz w:val="24"/>
                <w:szCs w:val="24"/>
              </w:rPr>
            </w:pPr>
            <w:r w:rsidRPr="0005522B">
              <w:rPr>
                <w:rFonts w:ascii="Calibri" w:eastAsia="DengXian" w:hAnsi="Calibri" w:cs="Calibri"/>
                <w:iCs/>
                <w:sz w:val="24"/>
                <w:szCs w:val="24"/>
              </w:rPr>
              <w:t>After electrolysis</w:t>
            </w:r>
          </w:p>
        </w:tc>
        <w:tc>
          <w:tcPr>
            <w:tcW w:w="4003" w:type="dxa"/>
            <w:tcBorders>
              <w:bottom w:val="single" w:sz="4" w:space="0" w:color="auto"/>
            </w:tcBorders>
          </w:tcPr>
          <w:p w14:paraId="1498FA27" w14:textId="77777777" w:rsidR="0005522B" w:rsidRPr="0005522B" w:rsidRDefault="0005522B" w:rsidP="0005522B">
            <w:pPr>
              <w:jc w:val="center"/>
              <w:rPr>
                <w:rFonts w:ascii="Calibri" w:eastAsia="DengXian" w:hAnsi="Calibri" w:cs="Calibri"/>
                <w:iCs/>
                <w:sz w:val="24"/>
                <w:szCs w:val="24"/>
              </w:rPr>
            </w:pPr>
            <w:r w:rsidRPr="0005522B">
              <w:rPr>
                <w:rFonts w:ascii="Calibri" w:eastAsia="DengXian" w:hAnsi="Calibri" w:cs="Calibri"/>
                <w:iCs/>
                <w:sz w:val="24"/>
                <w:szCs w:val="24"/>
              </w:rPr>
              <w:t>17.9 ± 1.5</w:t>
            </w:r>
          </w:p>
        </w:tc>
      </w:tr>
    </w:tbl>
    <w:p w14:paraId="56741A9E" w14:textId="77777777" w:rsidR="0005522B" w:rsidRPr="0005522B" w:rsidRDefault="0005522B" w:rsidP="0005522B">
      <w:pPr>
        <w:jc w:val="both"/>
        <w:rPr>
          <w:rFonts w:ascii="Calibri" w:eastAsia="DengXian" w:hAnsi="Calibri" w:cs="Calibri"/>
          <w:iCs/>
          <w:sz w:val="24"/>
          <w:szCs w:val="24"/>
        </w:rPr>
      </w:pPr>
    </w:p>
    <w:p w14:paraId="6F5D8397" w14:textId="6F7A2BDF" w:rsidR="00127C02" w:rsidRDefault="00127C02">
      <w:pPr>
        <w:rPr>
          <w:rFonts w:eastAsia="DengXian Light"/>
          <w:b/>
          <w:bCs/>
        </w:rPr>
      </w:pPr>
      <w:bookmarkStart w:id="15" w:name="_Toc165105690"/>
      <w:r>
        <w:rPr>
          <w:rFonts w:eastAsia="DengXian Light"/>
          <w:b/>
          <w:bCs/>
        </w:rPr>
        <w:br w:type="page"/>
      </w:r>
    </w:p>
    <w:p w14:paraId="4456195B" w14:textId="6F7A2BDF" w:rsidR="0005522B" w:rsidRPr="007C637C" w:rsidRDefault="0005522B" w:rsidP="007C637C">
      <w:pPr>
        <w:rPr>
          <w:rFonts w:eastAsia="DengXian Light"/>
          <w:b/>
          <w:bCs/>
          <w:szCs w:val="24"/>
        </w:rPr>
      </w:pPr>
      <w:r w:rsidRPr="007C637C">
        <w:rPr>
          <w:rFonts w:eastAsia="DengXian Light"/>
          <w:b/>
          <w:bCs/>
        </w:rPr>
        <w:lastRenderedPageBreak/>
        <w:t>Atomic Force Microscopy (AFM)</w:t>
      </w:r>
      <w:bookmarkEnd w:id="15"/>
    </w:p>
    <w:p w14:paraId="40CC3BA9" w14:textId="6162131A" w:rsidR="0005522B" w:rsidRPr="0005522B" w:rsidRDefault="0005522B" w:rsidP="004C17CA">
      <w:pPr>
        <w:spacing w:line="360" w:lineRule="auto"/>
        <w:jc w:val="both"/>
        <w:rPr>
          <w:rFonts w:ascii="Calibri" w:eastAsia="DengXian" w:hAnsi="Calibri" w:cs="Calibri"/>
          <w:iCs/>
          <w:sz w:val="24"/>
          <w:szCs w:val="24"/>
        </w:rPr>
      </w:pPr>
      <w:r w:rsidRPr="0005522B">
        <w:rPr>
          <w:rFonts w:ascii="Calibri" w:eastAsia="DengXian" w:hAnsi="Calibri" w:cs="Calibri"/>
          <w:sz w:val="24"/>
          <w:szCs w:val="24"/>
        </w:rPr>
        <w:t xml:space="preserve">Atomic Force Microscopy (AFM) analysis was performed to evaluate the roughness/smoothness of the native oxides. </w:t>
      </w:r>
      <w:r w:rsidRPr="007B26F4">
        <w:rPr>
          <w:rFonts w:ascii="Calibri" w:eastAsia="DengXian" w:hAnsi="Calibri" w:cs="Calibri"/>
          <w:iCs/>
          <w:sz w:val="24"/>
          <w:szCs w:val="24"/>
        </w:rPr>
        <w:t>Table S3 presents the roughness value of the electrode surface before and after electrolysis</w:t>
      </w:r>
      <w:r w:rsidRPr="0005522B">
        <w:rPr>
          <w:rFonts w:ascii="Calibri" w:eastAsia="DengXian" w:hAnsi="Calibri" w:cs="Calibri"/>
          <w:iCs/>
          <w:sz w:val="24"/>
          <w:szCs w:val="24"/>
        </w:rPr>
        <w:t>.</w:t>
      </w:r>
    </w:p>
    <w:p w14:paraId="7619890D" w14:textId="65F0E4AA" w:rsidR="0005522B" w:rsidRPr="0005522B" w:rsidRDefault="0005522B" w:rsidP="0005522B">
      <w:pPr>
        <w:keepNext/>
        <w:spacing w:after="200" w:line="276" w:lineRule="auto"/>
        <w:rPr>
          <w:rFonts w:ascii="Calibri" w:eastAsia="DengXian" w:hAnsi="Calibri" w:cs="Calibri"/>
          <w:color w:val="44546A"/>
          <w:sz w:val="18"/>
          <w:szCs w:val="18"/>
        </w:rPr>
      </w:pPr>
      <w:r w:rsidRPr="0005522B">
        <w:rPr>
          <w:rFonts w:ascii="Calibri" w:eastAsia="DengXian" w:hAnsi="Calibri" w:cs="Calibri"/>
          <w:b/>
          <w:bCs/>
          <w:sz w:val="24"/>
          <w:szCs w:val="24"/>
        </w:rPr>
        <w:t>Table S</w:t>
      </w:r>
      <w:r w:rsidRPr="0005522B">
        <w:rPr>
          <w:rFonts w:ascii="Calibri" w:eastAsia="DengXian" w:hAnsi="Calibri" w:cs="Calibri"/>
          <w:b/>
          <w:bCs/>
          <w:sz w:val="24"/>
          <w:szCs w:val="24"/>
        </w:rPr>
        <w:fldChar w:fldCharType="begin"/>
      </w:r>
      <w:r w:rsidRPr="0005522B">
        <w:rPr>
          <w:rFonts w:ascii="Calibri" w:eastAsia="DengXian" w:hAnsi="Calibri" w:cs="Calibri"/>
          <w:b/>
          <w:bCs/>
          <w:sz w:val="24"/>
          <w:szCs w:val="24"/>
        </w:rPr>
        <w:instrText xml:space="preserve"> SEQ Table \* ARABIC </w:instrText>
      </w:r>
      <w:r w:rsidRPr="0005522B">
        <w:rPr>
          <w:rFonts w:ascii="Calibri" w:eastAsia="DengXian" w:hAnsi="Calibri" w:cs="Calibri"/>
          <w:b/>
          <w:bCs/>
          <w:sz w:val="24"/>
          <w:szCs w:val="24"/>
        </w:rPr>
        <w:fldChar w:fldCharType="separate"/>
      </w:r>
      <w:r w:rsidRPr="0005522B">
        <w:rPr>
          <w:rFonts w:ascii="Calibri" w:eastAsia="DengXian" w:hAnsi="Calibri" w:cs="Calibri"/>
          <w:b/>
          <w:bCs/>
          <w:noProof/>
          <w:sz w:val="24"/>
          <w:szCs w:val="24"/>
        </w:rPr>
        <w:t>3</w:t>
      </w:r>
      <w:r w:rsidRPr="0005522B">
        <w:rPr>
          <w:rFonts w:ascii="Calibri" w:eastAsia="DengXian" w:hAnsi="Calibri" w:cs="Calibri"/>
          <w:b/>
          <w:bCs/>
          <w:sz w:val="24"/>
          <w:szCs w:val="24"/>
        </w:rPr>
        <w:fldChar w:fldCharType="end"/>
      </w:r>
      <w:r w:rsidRPr="0005522B">
        <w:rPr>
          <w:rFonts w:ascii="Calibri" w:eastAsia="DengXian" w:hAnsi="Calibri" w:cs="Calibri"/>
          <w:sz w:val="24"/>
          <w:szCs w:val="24"/>
        </w:rPr>
        <w:t>:</w:t>
      </w:r>
      <w:r w:rsidRPr="0005522B">
        <w:rPr>
          <w:rFonts w:ascii="Calibri" w:eastAsia="DengXian" w:hAnsi="Calibri" w:cs="Calibri"/>
          <w:sz w:val="18"/>
          <w:szCs w:val="18"/>
        </w:rPr>
        <w:t xml:space="preserve"> </w:t>
      </w:r>
      <w:r w:rsidRPr="0005522B">
        <w:rPr>
          <w:rFonts w:ascii="Calibri" w:eastAsia="DengXian" w:hAnsi="Calibri" w:cs="Calibri"/>
          <w:sz w:val="24"/>
          <w:szCs w:val="24"/>
        </w:rPr>
        <w:t>Atomic force microscopy data showing the roughness value of the electrode surface before and after electrolysis.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5522B" w:rsidRPr="0005522B" w14:paraId="538144F4" w14:textId="77777777" w:rsidTr="0067430A">
        <w:tc>
          <w:tcPr>
            <w:tcW w:w="2254" w:type="dxa"/>
            <w:tcBorders>
              <w:top w:val="single" w:sz="12" w:space="0" w:color="auto"/>
              <w:bottom w:val="single" w:sz="4" w:space="0" w:color="auto"/>
            </w:tcBorders>
            <w:shd w:val="clear" w:color="auto" w:fill="EEECE1"/>
          </w:tcPr>
          <w:p w14:paraId="4CAB9C93" w14:textId="77777777" w:rsidR="0005522B" w:rsidRPr="0005522B" w:rsidRDefault="0005522B" w:rsidP="0005522B">
            <w:pPr>
              <w:jc w:val="center"/>
              <w:rPr>
                <w:rFonts w:ascii="Calibri" w:eastAsia="DengXian" w:hAnsi="Calibri" w:cs="Calibri"/>
                <w:b/>
                <w:bCs/>
                <w:sz w:val="24"/>
                <w:szCs w:val="24"/>
              </w:rPr>
            </w:pPr>
            <w:r w:rsidRPr="0005522B">
              <w:rPr>
                <w:rFonts w:ascii="Calibri" w:eastAsia="DengXian" w:hAnsi="Calibri" w:cs="Calibri"/>
                <w:b/>
                <w:bCs/>
                <w:sz w:val="24"/>
                <w:szCs w:val="24"/>
              </w:rPr>
              <w:t>Electrode</w:t>
            </w:r>
          </w:p>
        </w:tc>
        <w:tc>
          <w:tcPr>
            <w:tcW w:w="2254" w:type="dxa"/>
            <w:tcBorders>
              <w:top w:val="single" w:sz="12" w:space="0" w:color="auto"/>
              <w:bottom w:val="single" w:sz="4" w:space="0" w:color="auto"/>
            </w:tcBorders>
            <w:shd w:val="clear" w:color="auto" w:fill="EEECE1"/>
          </w:tcPr>
          <w:p w14:paraId="6EA2A01F" w14:textId="77777777" w:rsidR="0005522B" w:rsidRPr="0005522B" w:rsidRDefault="0005522B" w:rsidP="0005522B">
            <w:pPr>
              <w:jc w:val="center"/>
              <w:rPr>
                <w:rFonts w:ascii="Calibri" w:eastAsia="DengXian" w:hAnsi="Calibri" w:cs="Calibri"/>
                <w:b/>
                <w:bCs/>
                <w:sz w:val="24"/>
                <w:szCs w:val="24"/>
              </w:rPr>
            </w:pPr>
            <w:r w:rsidRPr="0005522B">
              <w:rPr>
                <w:rFonts w:ascii="Calibri" w:eastAsia="DengXian" w:hAnsi="Calibri" w:cs="Calibri"/>
                <w:b/>
                <w:bCs/>
                <w:sz w:val="24"/>
                <w:szCs w:val="24"/>
              </w:rPr>
              <w:t xml:space="preserve">Average height of the peak, </w:t>
            </w:r>
            <w:proofErr w:type="spellStart"/>
            <w:r w:rsidRPr="0005522B">
              <w:rPr>
                <w:rFonts w:ascii="Calibri" w:eastAsia="DengXian" w:hAnsi="Calibri" w:cs="Calibri"/>
                <w:b/>
                <w:bCs/>
                <w:sz w:val="24"/>
                <w:szCs w:val="24"/>
              </w:rPr>
              <w:t>S</w:t>
            </w:r>
            <w:r w:rsidRPr="0005522B">
              <w:rPr>
                <w:rFonts w:ascii="Calibri" w:eastAsia="DengXian" w:hAnsi="Calibri" w:cs="Calibri"/>
                <w:b/>
                <w:bCs/>
                <w:sz w:val="24"/>
                <w:szCs w:val="24"/>
                <w:vertAlign w:val="subscript"/>
              </w:rPr>
              <w:t>h</w:t>
            </w:r>
            <w:proofErr w:type="spellEnd"/>
            <w:r w:rsidRPr="0005522B">
              <w:rPr>
                <w:rFonts w:ascii="Calibri" w:eastAsia="DengXian" w:hAnsi="Calibri" w:cs="Calibri"/>
                <w:b/>
                <w:bCs/>
                <w:sz w:val="24"/>
                <w:szCs w:val="24"/>
              </w:rPr>
              <w:t xml:space="preserve"> (nm)</w:t>
            </w:r>
          </w:p>
        </w:tc>
        <w:tc>
          <w:tcPr>
            <w:tcW w:w="2254" w:type="dxa"/>
            <w:tcBorders>
              <w:top w:val="single" w:sz="12" w:space="0" w:color="auto"/>
              <w:bottom w:val="single" w:sz="4" w:space="0" w:color="auto"/>
            </w:tcBorders>
            <w:shd w:val="clear" w:color="auto" w:fill="EEECE1"/>
          </w:tcPr>
          <w:p w14:paraId="6FE5B49A" w14:textId="77777777" w:rsidR="0005522B" w:rsidRPr="0005522B" w:rsidRDefault="0005522B" w:rsidP="0005522B">
            <w:pPr>
              <w:jc w:val="center"/>
              <w:rPr>
                <w:rFonts w:ascii="Calibri" w:eastAsia="DengXian" w:hAnsi="Calibri" w:cs="Calibri"/>
                <w:b/>
                <w:bCs/>
                <w:sz w:val="24"/>
                <w:szCs w:val="24"/>
              </w:rPr>
            </w:pPr>
            <w:r w:rsidRPr="0005522B">
              <w:rPr>
                <w:rFonts w:ascii="Calibri" w:eastAsia="DengXian" w:hAnsi="Calibri" w:cs="Calibri"/>
                <w:b/>
                <w:bCs/>
                <w:sz w:val="24"/>
                <w:szCs w:val="24"/>
              </w:rPr>
              <w:t xml:space="preserve">Average roughness, </w:t>
            </w:r>
          </w:p>
          <w:p w14:paraId="5A4E7526" w14:textId="77777777" w:rsidR="0005522B" w:rsidRPr="0005522B" w:rsidRDefault="0005522B" w:rsidP="0005522B">
            <w:pPr>
              <w:jc w:val="center"/>
              <w:rPr>
                <w:rFonts w:ascii="Calibri" w:eastAsia="DengXian" w:hAnsi="Calibri" w:cs="Calibri"/>
                <w:b/>
                <w:bCs/>
                <w:sz w:val="24"/>
                <w:szCs w:val="24"/>
              </w:rPr>
            </w:pPr>
            <w:r w:rsidRPr="0005522B">
              <w:rPr>
                <w:rFonts w:ascii="Calibri" w:eastAsia="DengXian" w:hAnsi="Calibri" w:cs="Calibri"/>
                <w:b/>
                <w:bCs/>
                <w:sz w:val="24"/>
                <w:szCs w:val="24"/>
              </w:rPr>
              <w:t>R</w:t>
            </w:r>
            <w:r w:rsidRPr="0005522B">
              <w:rPr>
                <w:rFonts w:ascii="Calibri" w:eastAsia="DengXian" w:hAnsi="Calibri" w:cs="Calibri"/>
                <w:b/>
                <w:bCs/>
                <w:sz w:val="24"/>
                <w:szCs w:val="24"/>
                <w:vertAlign w:val="subscript"/>
              </w:rPr>
              <w:t>a</w:t>
            </w:r>
            <w:r w:rsidRPr="0005522B">
              <w:rPr>
                <w:rFonts w:ascii="Calibri" w:eastAsia="DengXian" w:hAnsi="Calibri" w:cs="Calibri"/>
                <w:b/>
                <w:bCs/>
                <w:sz w:val="24"/>
                <w:szCs w:val="24"/>
              </w:rPr>
              <w:t xml:space="preserve"> (nm)</w:t>
            </w:r>
          </w:p>
        </w:tc>
        <w:tc>
          <w:tcPr>
            <w:tcW w:w="2254" w:type="dxa"/>
            <w:tcBorders>
              <w:top w:val="single" w:sz="12" w:space="0" w:color="auto"/>
              <w:bottom w:val="single" w:sz="4" w:space="0" w:color="auto"/>
            </w:tcBorders>
            <w:shd w:val="clear" w:color="auto" w:fill="EEECE1"/>
          </w:tcPr>
          <w:p w14:paraId="0EF120BA" w14:textId="77777777" w:rsidR="0005522B" w:rsidRPr="0005522B" w:rsidRDefault="0005522B" w:rsidP="0005522B">
            <w:pPr>
              <w:jc w:val="center"/>
              <w:rPr>
                <w:rFonts w:ascii="Calibri" w:eastAsia="DengXian" w:hAnsi="Calibri" w:cs="Calibri"/>
                <w:b/>
                <w:bCs/>
                <w:sz w:val="24"/>
                <w:szCs w:val="24"/>
              </w:rPr>
            </w:pPr>
            <w:r w:rsidRPr="0005522B">
              <w:rPr>
                <w:rFonts w:ascii="Calibri" w:eastAsia="DengXian" w:hAnsi="Calibri" w:cs="Calibri"/>
                <w:b/>
                <w:bCs/>
                <w:sz w:val="24"/>
                <w:szCs w:val="24"/>
              </w:rPr>
              <w:t xml:space="preserve">Root mean square roughness, </w:t>
            </w:r>
            <w:proofErr w:type="spellStart"/>
            <w:r w:rsidRPr="0005522B">
              <w:rPr>
                <w:rFonts w:ascii="Calibri" w:eastAsia="DengXian" w:hAnsi="Calibri" w:cs="Calibri"/>
                <w:b/>
                <w:bCs/>
                <w:sz w:val="24"/>
                <w:szCs w:val="24"/>
              </w:rPr>
              <w:t>R</w:t>
            </w:r>
            <w:r w:rsidRPr="0005522B">
              <w:rPr>
                <w:rFonts w:ascii="Calibri" w:eastAsia="DengXian" w:hAnsi="Calibri" w:cs="Calibri"/>
                <w:b/>
                <w:bCs/>
                <w:sz w:val="24"/>
                <w:szCs w:val="24"/>
                <w:vertAlign w:val="subscript"/>
              </w:rPr>
              <w:t>q</w:t>
            </w:r>
            <w:proofErr w:type="spellEnd"/>
            <w:r w:rsidRPr="0005522B">
              <w:rPr>
                <w:rFonts w:ascii="Calibri" w:eastAsia="DengXian" w:hAnsi="Calibri" w:cs="Calibri"/>
                <w:b/>
                <w:bCs/>
                <w:sz w:val="24"/>
                <w:szCs w:val="24"/>
              </w:rPr>
              <w:t xml:space="preserve"> (nm)</w:t>
            </w:r>
          </w:p>
        </w:tc>
      </w:tr>
      <w:tr w:rsidR="0005522B" w:rsidRPr="0005522B" w14:paraId="63157DC0" w14:textId="77777777" w:rsidTr="0067430A">
        <w:tc>
          <w:tcPr>
            <w:tcW w:w="2254" w:type="dxa"/>
            <w:tcBorders>
              <w:top w:val="single" w:sz="4" w:space="0" w:color="auto"/>
            </w:tcBorders>
          </w:tcPr>
          <w:p w14:paraId="213F2620"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Before electrolysis</w:t>
            </w:r>
          </w:p>
        </w:tc>
        <w:tc>
          <w:tcPr>
            <w:tcW w:w="2254" w:type="dxa"/>
            <w:tcBorders>
              <w:top w:val="single" w:sz="4" w:space="0" w:color="auto"/>
            </w:tcBorders>
          </w:tcPr>
          <w:p w14:paraId="0EA6592B"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143</w:t>
            </w:r>
          </w:p>
        </w:tc>
        <w:tc>
          <w:tcPr>
            <w:tcW w:w="2254" w:type="dxa"/>
            <w:tcBorders>
              <w:top w:val="single" w:sz="4" w:space="0" w:color="auto"/>
            </w:tcBorders>
          </w:tcPr>
          <w:p w14:paraId="1EB77B4C"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26.2</w:t>
            </w:r>
          </w:p>
        </w:tc>
        <w:tc>
          <w:tcPr>
            <w:tcW w:w="2254" w:type="dxa"/>
            <w:tcBorders>
              <w:top w:val="single" w:sz="4" w:space="0" w:color="auto"/>
            </w:tcBorders>
          </w:tcPr>
          <w:p w14:paraId="0001E0B0"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35.2</w:t>
            </w:r>
          </w:p>
        </w:tc>
      </w:tr>
      <w:tr w:rsidR="0005522B" w:rsidRPr="0005522B" w14:paraId="1E4BACBE" w14:textId="77777777" w:rsidTr="0067430A">
        <w:tc>
          <w:tcPr>
            <w:tcW w:w="2254" w:type="dxa"/>
            <w:tcBorders>
              <w:bottom w:val="single" w:sz="4" w:space="0" w:color="auto"/>
            </w:tcBorders>
          </w:tcPr>
          <w:p w14:paraId="4A862955"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After electrolysis</w:t>
            </w:r>
          </w:p>
        </w:tc>
        <w:tc>
          <w:tcPr>
            <w:tcW w:w="2254" w:type="dxa"/>
            <w:tcBorders>
              <w:bottom w:val="single" w:sz="4" w:space="0" w:color="auto"/>
            </w:tcBorders>
          </w:tcPr>
          <w:p w14:paraId="17EC8FE0"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317</w:t>
            </w:r>
          </w:p>
        </w:tc>
        <w:tc>
          <w:tcPr>
            <w:tcW w:w="2254" w:type="dxa"/>
            <w:tcBorders>
              <w:bottom w:val="single" w:sz="4" w:space="0" w:color="auto"/>
            </w:tcBorders>
          </w:tcPr>
          <w:p w14:paraId="695850BA"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38.3</w:t>
            </w:r>
          </w:p>
        </w:tc>
        <w:tc>
          <w:tcPr>
            <w:tcW w:w="2254" w:type="dxa"/>
            <w:tcBorders>
              <w:bottom w:val="single" w:sz="4" w:space="0" w:color="auto"/>
            </w:tcBorders>
          </w:tcPr>
          <w:p w14:paraId="7C1DCCED" w14:textId="77777777" w:rsidR="0005522B" w:rsidRPr="0005522B" w:rsidRDefault="0005522B" w:rsidP="0005522B">
            <w:pPr>
              <w:jc w:val="center"/>
              <w:rPr>
                <w:rFonts w:ascii="Calibri" w:eastAsia="DengXian" w:hAnsi="Calibri" w:cs="Calibri"/>
                <w:sz w:val="24"/>
                <w:szCs w:val="24"/>
              </w:rPr>
            </w:pPr>
            <w:r w:rsidRPr="0005522B">
              <w:rPr>
                <w:rFonts w:ascii="Calibri" w:eastAsia="DengXian" w:hAnsi="Calibri" w:cs="Calibri"/>
                <w:sz w:val="24"/>
                <w:szCs w:val="24"/>
              </w:rPr>
              <w:t>49.7</w:t>
            </w:r>
          </w:p>
        </w:tc>
      </w:tr>
    </w:tbl>
    <w:p w14:paraId="582EA640" w14:textId="77777777" w:rsidR="0005522B" w:rsidRPr="007B26F4" w:rsidRDefault="0005522B" w:rsidP="0005522B">
      <w:pPr>
        <w:rPr>
          <w:rFonts w:ascii="Calibri" w:eastAsia="DengXian" w:hAnsi="Calibri" w:cs="Calibri"/>
        </w:rPr>
      </w:pPr>
    </w:p>
    <w:p w14:paraId="13736BFA" w14:textId="77777777" w:rsidR="009D7F71" w:rsidRPr="0005522B" w:rsidRDefault="009D7F71" w:rsidP="0005522B">
      <w:pPr>
        <w:rPr>
          <w:rFonts w:ascii="Calibri" w:eastAsia="DengXian" w:hAnsi="Calibri" w:cs="Calibri"/>
        </w:rPr>
      </w:pPr>
    </w:p>
    <w:p w14:paraId="4DF1E9DF" w14:textId="41F5F790" w:rsidR="009D7F71" w:rsidRPr="007C637C" w:rsidRDefault="009D7F71" w:rsidP="007C637C">
      <w:pPr>
        <w:rPr>
          <w:rFonts w:eastAsia="DengXian Light"/>
          <w:b/>
          <w:bCs/>
        </w:rPr>
      </w:pPr>
      <w:bookmarkStart w:id="16" w:name="_Toc155907129"/>
      <w:bookmarkStart w:id="17" w:name="_Toc165105691"/>
      <w:r w:rsidRPr="007C637C">
        <w:rPr>
          <w:rFonts w:eastAsia="DengXian Light"/>
          <w:b/>
          <w:bCs/>
        </w:rPr>
        <w:t>Electrochemically Active Surface Area (ECSA)</w:t>
      </w:r>
      <w:bookmarkEnd w:id="16"/>
      <w:bookmarkEnd w:id="17"/>
    </w:p>
    <w:p w14:paraId="54A5F5EA" w14:textId="77777777" w:rsidR="009D7F71" w:rsidRPr="009D7F71" w:rsidRDefault="009D7F71" w:rsidP="009D7F71">
      <w:pPr>
        <w:spacing w:line="360" w:lineRule="auto"/>
        <w:jc w:val="both"/>
        <w:rPr>
          <w:rFonts w:ascii="Calibri" w:eastAsia="DengXian" w:hAnsi="Calibri" w:cs="Calibri"/>
          <w:sz w:val="24"/>
          <w:szCs w:val="24"/>
        </w:rPr>
      </w:pPr>
      <w:r w:rsidRPr="009D7F71">
        <w:rPr>
          <w:rFonts w:ascii="Calibri" w:eastAsia="DengXian" w:hAnsi="Calibri" w:cs="Calibri"/>
          <w:sz w:val="24"/>
          <w:szCs w:val="24"/>
        </w:rPr>
        <w:t>First, a non-Faradaic potential range was identified from the titanium electrode's cyclic voltammogram. Over the region, −0.05 to −0.40 V, depicted in Figure S10(a), a series of cyclic voltammetry scans were performed at different scan rates (10, 50, 100, 200, 300, 400, 600, 800, 1000 mV s</w:t>
      </w:r>
      <w:r w:rsidRPr="009D7F71">
        <w:rPr>
          <w:rFonts w:ascii="Calibri" w:eastAsia="DengXian" w:hAnsi="Calibri" w:cs="Calibri"/>
          <w:sz w:val="24"/>
          <w:szCs w:val="24"/>
          <w:vertAlign w:val="superscript"/>
        </w:rPr>
        <w:t>−1</w:t>
      </w:r>
      <w:r w:rsidRPr="009D7F71">
        <w:rPr>
          <w:rFonts w:ascii="Calibri" w:eastAsia="DengXian" w:hAnsi="Calibri" w:cs="Calibri"/>
          <w:sz w:val="24"/>
          <w:szCs w:val="24"/>
        </w:rPr>
        <w:t>). The electrode’s electrochemically active surface area (ECSA) was calculated using Equation S5.</w:t>
      </w:r>
    </w:p>
    <w:p w14:paraId="7DD7ED0B" w14:textId="77777777" w:rsidR="009D7F71" w:rsidRPr="009D7F71" w:rsidRDefault="009D7F71" w:rsidP="009D7F71">
      <w:pPr>
        <w:jc w:val="both"/>
        <w:rPr>
          <w:rFonts w:ascii="Calibri" w:eastAsia="DengXian" w:hAnsi="Calibri" w:cs="Calibri"/>
          <w:sz w:val="24"/>
          <w:szCs w:val="24"/>
        </w:rPr>
      </w:pPr>
    </w:p>
    <w:p w14:paraId="5FADB36F" w14:textId="77777777" w:rsidR="009D7F71" w:rsidRPr="009D7F71" w:rsidRDefault="009D7F71" w:rsidP="009D7F71">
      <w:pPr>
        <w:jc w:val="center"/>
        <w:rPr>
          <w:rFonts w:ascii="Calibri" w:eastAsia="DengXian" w:hAnsi="Calibri" w:cs="Calibri"/>
          <w:sz w:val="24"/>
          <w:szCs w:val="24"/>
        </w:rPr>
      </w:pPr>
      <m:oMath>
        <m:r>
          <w:rPr>
            <w:rFonts w:ascii="Cambria Math" w:eastAsia="DengXian" w:hAnsi="Cambria Math" w:cs="Calibri"/>
            <w:sz w:val="24"/>
            <w:szCs w:val="24"/>
          </w:rPr>
          <m:t xml:space="preserve">ECSA= </m:t>
        </m:r>
        <m:f>
          <m:fPr>
            <m:ctrlPr>
              <w:rPr>
                <w:rFonts w:ascii="Cambria Math" w:eastAsia="DengXian" w:hAnsi="Cambria Math" w:cs="Calibri"/>
                <w:i/>
                <w:sz w:val="24"/>
                <w:szCs w:val="24"/>
              </w:rPr>
            </m:ctrlPr>
          </m:fPr>
          <m:num>
            <m:sSub>
              <m:sSubPr>
                <m:ctrlPr>
                  <w:rPr>
                    <w:rFonts w:ascii="Cambria Math" w:eastAsia="DengXian" w:hAnsi="Cambria Math" w:cs="Calibri"/>
                    <w:i/>
                    <w:sz w:val="24"/>
                    <w:szCs w:val="24"/>
                  </w:rPr>
                </m:ctrlPr>
              </m:sSubPr>
              <m:e>
                <m:r>
                  <w:rPr>
                    <w:rFonts w:ascii="Cambria Math" w:eastAsia="DengXian" w:hAnsi="Cambria Math" w:cs="Calibri"/>
                    <w:sz w:val="24"/>
                    <w:szCs w:val="24"/>
                  </w:rPr>
                  <m:t>C</m:t>
                </m:r>
              </m:e>
              <m:sub>
                <m:r>
                  <w:rPr>
                    <w:rFonts w:ascii="Cambria Math" w:eastAsia="DengXian" w:hAnsi="Cambria Math" w:cs="Calibri"/>
                    <w:sz w:val="24"/>
                    <w:szCs w:val="24"/>
                  </w:rPr>
                  <m:t>DL</m:t>
                </m:r>
              </m:sub>
            </m:sSub>
          </m:num>
          <m:den>
            <m:sSub>
              <m:sSubPr>
                <m:ctrlPr>
                  <w:rPr>
                    <w:rFonts w:ascii="Cambria Math" w:eastAsia="DengXian" w:hAnsi="Cambria Math" w:cs="Calibri"/>
                    <w:i/>
                    <w:sz w:val="24"/>
                    <w:szCs w:val="24"/>
                  </w:rPr>
                </m:ctrlPr>
              </m:sSubPr>
              <m:e>
                <m:r>
                  <w:rPr>
                    <w:rFonts w:ascii="Cambria Math" w:eastAsia="DengXian" w:hAnsi="Cambria Math" w:cs="Calibri"/>
                    <w:sz w:val="24"/>
                    <w:szCs w:val="24"/>
                  </w:rPr>
                  <m:t>C</m:t>
                </m:r>
              </m:e>
              <m:sub>
                <m:r>
                  <w:rPr>
                    <w:rFonts w:ascii="Cambria Math" w:eastAsia="DengXian" w:hAnsi="Cambria Math" w:cs="Calibri"/>
                    <w:sz w:val="24"/>
                    <w:szCs w:val="24"/>
                  </w:rPr>
                  <m:t>S</m:t>
                </m:r>
              </m:sub>
            </m:sSub>
          </m:den>
        </m:f>
        <m:r>
          <w:rPr>
            <w:rFonts w:ascii="Cambria Math" w:eastAsia="DengXian" w:hAnsi="Cambria Math" w:cs="Calibri"/>
            <w:sz w:val="24"/>
            <w:szCs w:val="24"/>
          </w:rPr>
          <m:t xml:space="preserve"> </m:t>
        </m:r>
      </m:oMath>
      <w:r w:rsidRPr="009D7F71">
        <w:rPr>
          <w:rFonts w:ascii="Calibri" w:eastAsia="DengXian" w:hAnsi="Calibri" w:cs="Calibri"/>
          <w:sz w:val="24"/>
          <w:szCs w:val="24"/>
        </w:rPr>
        <w:t xml:space="preserve">                            </w:t>
      </w:r>
      <m:oMath>
        <m:r>
          <m:rPr>
            <m:sty m:val="p"/>
          </m:rPr>
          <w:rPr>
            <w:rFonts w:ascii="Cambria Math" w:eastAsia="DengXian" w:hAnsi="Cambria Math" w:cs="Calibri"/>
            <w:sz w:val="24"/>
            <w:szCs w:val="24"/>
          </w:rPr>
          <m:t>(Equation S5)</m:t>
        </m:r>
      </m:oMath>
    </w:p>
    <w:p w14:paraId="25C98DA8" w14:textId="77777777" w:rsidR="009D7F71" w:rsidRPr="009D7F71" w:rsidRDefault="009D7F71" w:rsidP="009D7F71">
      <w:pPr>
        <w:jc w:val="center"/>
        <w:rPr>
          <w:rFonts w:ascii="Calibri" w:eastAsia="DengXian" w:hAnsi="Calibri" w:cs="Calibri"/>
          <w:sz w:val="24"/>
          <w:szCs w:val="24"/>
        </w:rPr>
      </w:pPr>
    </w:p>
    <w:p w14:paraId="404C21D3" w14:textId="77777777" w:rsidR="009D7F71" w:rsidRPr="00BA7963" w:rsidRDefault="009D7F71" w:rsidP="009D7F71">
      <w:pPr>
        <w:jc w:val="both"/>
        <w:rPr>
          <w:rFonts w:ascii="Calibri" w:eastAsia="DengXian" w:hAnsi="Calibri" w:cs="Calibri"/>
          <w:sz w:val="24"/>
          <w:szCs w:val="24"/>
        </w:rPr>
      </w:pPr>
      <w:r w:rsidRPr="00BA7963">
        <w:rPr>
          <w:rFonts w:ascii="Calibri" w:eastAsia="DengXian" w:hAnsi="Calibri" w:cs="Calibri"/>
          <w:sz w:val="24"/>
          <w:szCs w:val="24"/>
        </w:rPr>
        <w:t xml:space="preserve">Where </w:t>
      </w:r>
      <w:r w:rsidRPr="00BA7963">
        <w:rPr>
          <w:rFonts w:ascii="Calibri" w:eastAsia="DengXian" w:hAnsi="Calibri" w:cs="Calibri"/>
          <w:i/>
          <w:iCs/>
          <w:sz w:val="24"/>
          <w:szCs w:val="24"/>
        </w:rPr>
        <w:t>C</w:t>
      </w:r>
      <w:r w:rsidRPr="00BA7963">
        <w:rPr>
          <w:rFonts w:ascii="Calibri" w:eastAsia="DengXian" w:hAnsi="Calibri" w:cs="Calibri"/>
          <w:i/>
          <w:iCs/>
          <w:sz w:val="24"/>
          <w:szCs w:val="24"/>
          <w:vertAlign w:val="subscript"/>
        </w:rPr>
        <w:t>DL</w:t>
      </w:r>
      <w:r w:rsidRPr="00BA7963">
        <w:rPr>
          <w:rFonts w:ascii="Calibri" w:eastAsia="DengXian" w:hAnsi="Calibri" w:cs="Calibri"/>
          <w:i/>
          <w:iCs/>
          <w:sz w:val="24"/>
          <w:szCs w:val="24"/>
        </w:rPr>
        <w:t xml:space="preserve"> </w:t>
      </w:r>
      <w:r w:rsidRPr="00BA7963">
        <w:rPr>
          <w:rFonts w:ascii="Calibri" w:eastAsia="DengXian" w:hAnsi="Calibri" w:cs="Calibri"/>
          <w:sz w:val="24"/>
          <w:szCs w:val="24"/>
        </w:rPr>
        <w:t xml:space="preserve">= Double-layer capacitance and </w:t>
      </w:r>
      <w:r w:rsidRPr="00BA7963">
        <w:rPr>
          <w:rFonts w:ascii="Calibri" w:eastAsia="DengXian" w:hAnsi="Calibri" w:cs="Calibri"/>
          <w:i/>
          <w:iCs/>
          <w:sz w:val="24"/>
          <w:szCs w:val="24"/>
        </w:rPr>
        <w:t>C</w:t>
      </w:r>
      <w:r w:rsidRPr="00BA7963">
        <w:rPr>
          <w:rFonts w:ascii="Calibri" w:eastAsia="DengXian" w:hAnsi="Calibri" w:cs="Calibri"/>
          <w:i/>
          <w:iCs/>
          <w:sz w:val="24"/>
          <w:szCs w:val="24"/>
          <w:vertAlign w:val="subscript"/>
        </w:rPr>
        <w:t>S</w:t>
      </w:r>
      <w:r w:rsidRPr="00BA7963">
        <w:rPr>
          <w:rFonts w:ascii="Calibri" w:eastAsia="DengXian" w:hAnsi="Calibri" w:cs="Calibri"/>
          <w:i/>
          <w:iCs/>
          <w:sz w:val="24"/>
          <w:szCs w:val="24"/>
        </w:rPr>
        <w:t xml:space="preserve"> </w:t>
      </w:r>
      <w:r w:rsidRPr="00BA7963">
        <w:rPr>
          <w:rFonts w:ascii="Calibri" w:eastAsia="DengXian" w:hAnsi="Calibri" w:cs="Calibri"/>
          <w:sz w:val="24"/>
          <w:szCs w:val="24"/>
        </w:rPr>
        <w:t>= Specific capacitance.</w:t>
      </w:r>
    </w:p>
    <w:p w14:paraId="43BA738B" w14:textId="49699587" w:rsidR="009D7F71" w:rsidRPr="00BA7963" w:rsidRDefault="009D7F71" w:rsidP="009D7F71">
      <w:pPr>
        <w:spacing w:line="360" w:lineRule="auto"/>
        <w:jc w:val="both"/>
        <w:rPr>
          <w:rFonts w:ascii="Calibri" w:eastAsia="DengXian" w:hAnsi="Calibri" w:cs="Calibri"/>
          <w:sz w:val="24"/>
          <w:szCs w:val="24"/>
        </w:rPr>
      </w:pPr>
      <w:r w:rsidRPr="00BA7963">
        <w:rPr>
          <w:rFonts w:ascii="Calibri" w:eastAsia="DengXian" w:hAnsi="Calibri" w:cs="Calibri"/>
          <w:sz w:val="24"/>
          <w:szCs w:val="24"/>
        </w:rPr>
        <w:t>To measure the electrode’s capacitance, it is assumed that all the measured current in the non-Faradaic region is due to the double-layer charging of Ti/Ti</w:t>
      </w:r>
      <w:r w:rsidRPr="00BA7963">
        <w:rPr>
          <w:rFonts w:ascii="Calibri" w:eastAsia="DengXian" w:hAnsi="Calibri" w:cs="Calibri"/>
          <w:sz w:val="24"/>
          <w:szCs w:val="24"/>
          <w:vertAlign w:val="subscript"/>
        </w:rPr>
        <w:t>x</w:t>
      </w:r>
      <w:r w:rsidRPr="00BA7963">
        <w:rPr>
          <w:rFonts w:ascii="Calibri" w:eastAsia="DengXian" w:hAnsi="Calibri" w:cs="Calibri"/>
          <w:sz w:val="24"/>
          <w:szCs w:val="24"/>
        </w:rPr>
        <w:t>O</w:t>
      </w:r>
      <w:r w:rsidRPr="00BA7963">
        <w:rPr>
          <w:rFonts w:ascii="Calibri" w:eastAsia="DengXian" w:hAnsi="Calibri" w:cs="Calibri"/>
          <w:sz w:val="24"/>
          <w:szCs w:val="24"/>
          <w:vertAlign w:val="subscript"/>
        </w:rPr>
        <w:t>y</w:t>
      </w:r>
      <w:r w:rsidRPr="00BA7963">
        <w:rPr>
          <w:rFonts w:ascii="Calibri" w:eastAsia="DengXian" w:hAnsi="Calibri" w:cs="Calibri"/>
          <w:sz w:val="24"/>
          <w:szCs w:val="24"/>
        </w:rPr>
        <w:t>.</w:t>
      </w:r>
      <w:r w:rsidRPr="00BA7963">
        <w:rPr>
          <w:rFonts w:ascii="Calibri" w:eastAsia="DengXian" w:hAnsi="Calibri" w:cs="Calibri"/>
          <w:sz w:val="24"/>
          <w:szCs w:val="24"/>
        </w:rPr>
        <w:fldChar w:fldCharType="begin" w:fldLock="1"/>
      </w:r>
      <w:r w:rsidR="00504AA0" w:rsidRPr="00BA7963">
        <w:rPr>
          <w:rFonts w:ascii="Calibri" w:eastAsia="DengXian" w:hAnsi="Calibri" w:cs="Calibri"/>
          <w:sz w:val="24"/>
          <w:szCs w:val="24"/>
        </w:rPr>
        <w:instrText xml:space="preserve">ADDIN CSL_CITATION {"citationItems":[{"id":"ITEM-1","itemData":{"DOI":"10.1021/ja510442p","ISSN":"15205126","PMID":"25668483","abstract":"Objective comparisons of electrocatalyst activity and stability using standard methods under identical conditions are necessary to evaluate the viability of existing electrocatalysts for integration into solar-fuel devices as well as to help inform the development of new catalytic systems. Herein, we use a standard protocol as a primary screen for evaluating the activity, short-term (2 h) stability, and electrochemically active surface area (ECSA) of 18 electrocatalysts for the hydrogen evolution reaction (HER) and 26 electrocatalysts for the oxygen evolution reaction (OER) under conditions relevant to an integrated solar water-splitting device in aqueous acidic or alkaline solution. Our primary figure of merit is the overpotential necessary to achieve a magnitude current density of 10 mA cm&lt;sup&gt;-2&lt;/sup&gt; per geometric area, the approximate current density expected for a 10% efficient solar-to-fuels conversion device under 1 sun illumination. The specific activity per ECSA of each material is also reported. Among HER catalysts, several could operate at 10 mA cm&lt;sup&gt;-2&lt;/sup&gt; with overpotentials &lt;0.1 V in acidic and/or alkaline solutions. Among OER catalysts in acidic solution, no non-noble metal based materials showed promising activity and stability, whereas in alkaline solution many OER catalysts performed with similar activity achieving 10 mA cm&lt;sup&gt;-2&lt;/sup&gt; current densities at overpotentials of </w:instrText>
      </w:r>
      <w:r w:rsidR="00504AA0" w:rsidRPr="00BA7963">
        <w:rPr>
          <w:rFonts w:ascii="Cambria Math" w:eastAsia="DengXian" w:hAnsi="Cambria Math" w:cs="Cambria Math"/>
          <w:sz w:val="24"/>
          <w:szCs w:val="24"/>
        </w:rPr>
        <w:instrText>∼</w:instrText>
      </w:r>
      <w:r w:rsidR="00504AA0" w:rsidRPr="00BA7963">
        <w:rPr>
          <w:rFonts w:ascii="Calibri" w:eastAsia="DengXian" w:hAnsi="Calibri" w:cs="Calibri"/>
          <w:sz w:val="24"/>
          <w:szCs w:val="24"/>
        </w:rPr>
        <w:instrText>0.33-0.5 V. Most OER catalysts showed comparable or better specific activity per ECSA when compared to Ir and Ru catalysts in alkaline solutions, while most HER catalysts showed much lower specific activity than Pt in both acidic and alkaline solutions. For select catalysts, additional secondary screening measurements were conducted including Faradaic efficiency and extended stability measurements. (Graph Presented)","author":[{"dropping-particle":"","family":"McCrory","given":"Charles C.L.","non-dropping-particle":"","parse-names":false,"suffix":""},{"dropping-particle":"","family":"Jung","given":"Suho","non-dropping-particle":"","parse-names":false,"suffix":""},{"dropping-particle":"","family":"Ferrer","given":"Ivonne M.","non-dropping-particle":"","parse-names":false,"suffix":""},{"dropping-particle":"","family":"Chatman","given":"Shawn M.","non-dropping-particle":"","parse-names":false,"suffix":""},{"dropping-particle":"","family":"Peters","given":"Jonas C.","non-dropping-particle":"","parse-names":false,"suffix":""},{"dropping-particle":"","family":"Jaramillo","given":"Thomas F.","non-dropping-particle":"","parse-names":false,"suffix":""}],"container-title":"Journal of the American Chemical Society","id":"ITEM-1","issue":"13","issued":{"date-parts":[["2015"]]},"page":"4347-4357","title":"Benchmarking Hydrogen Evolving Reaction and Oxygen Evolving Reaction Electrocatalysts for Solar Water Splitting Devices","type":"article-journal","volume":"137"},"uris":["http://www.mendeley.com/documents/?uuid=21fb34a7-5bba-4234-8551-5ecfb5866b99"]}],"mendeley":{"formattedCitation":"&lt;sup&gt;4&lt;/sup&gt;","plainTextFormattedCitation":"4","previouslyFormattedCitation":"&lt;sup&gt;2&lt;/sup&gt;"},"properties":{"noteIndex":0},"schema":"https://github.com/citation-style-language/schema/raw/master/csl-citation.json"}</w:instrText>
      </w:r>
      <w:r w:rsidRPr="00BA7963">
        <w:rPr>
          <w:rFonts w:ascii="Calibri" w:eastAsia="DengXian" w:hAnsi="Calibri" w:cs="Calibri"/>
          <w:sz w:val="24"/>
          <w:szCs w:val="24"/>
        </w:rPr>
        <w:fldChar w:fldCharType="separate"/>
      </w:r>
      <w:r w:rsidR="00504AA0" w:rsidRPr="00BA7963">
        <w:rPr>
          <w:rFonts w:ascii="Calibri" w:eastAsia="DengXian" w:hAnsi="Calibri" w:cs="Calibri"/>
          <w:noProof/>
          <w:sz w:val="24"/>
          <w:szCs w:val="24"/>
          <w:vertAlign w:val="superscript"/>
        </w:rPr>
        <w:t>4</w:t>
      </w:r>
      <w:r w:rsidRPr="00BA7963">
        <w:rPr>
          <w:rFonts w:ascii="Calibri" w:eastAsia="DengXian" w:hAnsi="Calibri" w:cs="Calibri"/>
          <w:sz w:val="24"/>
          <w:szCs w:val="24"/>
        </w:rPr>
        <w:fldChar w:fldCharType="end"/>
      </w:r>
      <w:r w:rsidRPr="00BA7963">
        <w:rPr>
          <w:rFonts w:ascii="Calibri" w:eastAsia="DengXian" w:hAnsi="Calibri" w:cs="Calibri"/>
          <w:sz w:val="24"/>
          <w:szCs w:val="24"/>
        </w:rPr>
        <w:t xml:space="preserve"> Based on this assumption, the charging current (</w:t>
      </w:r>
      <w:proofErr w:type="spellStart"/>
      <w:r w:rsidRPr="00BA7963">
        <w:rPr>
          <w:rFonts w:ascii="Calibri" w:eastAsia="DengXian" w:hAnsi="Calibri" w:cs="Calibri"/>
          <w:i/>
          <w:iCs/>
          <w:sz w:val="24"/>
          <w:szCs w:val="24"/>
        </w:rPr>
        <w:t>i</w:t>
      </w:r>
      <w:r w:rsidRPr="00BA7963">
        <w:rPr>
          <w:rFonts w:ascii="Calibri" w:eastAsia="DengXian" w:hAnsi="Calibri" w:cs="Calibri"/>
          <w:sz w:val="24"/>
          <w:szCs w:val="24"/>
          <w:vertAlign w:val="subscript"/>
        </w:rPr>
        <w:t>c</w:t>
      </w:r>
      <w:proofErr w:type="spellEnd"/>
      <w:r w:rsidRPr="00BA7963">
        <w:rPr>
          <w:rFonts w:ascii="Calibri" w:eastAsia="DengXian" w:hAnsi="Calibri" w:cs="Calibri"/>
          <w:sz w:val="24"/>
          <w:szCs w:val="24"/>
        </w:rPr>
        <w:t>) is measured from the cyclic voltammograms of the multiple scan rates in Figure S10a. The current obtained is equal to the product of the electrochemical double-layer capacitance (</w:t>
      </w:r>
      <w:r w:rsidRPr="00BA7963">
        <w:rPr>
          <w:rFonts w:ascii="Calibri" w:eastAsia="DengXian" w:hAnsi="Calibri" w:cs="Calibri"/>
          <w:i/>
          <w:iCs/>
          <w:sz w:val="24"/>
          <w:szCs w:val="24"/>
        </w:rPr>
        <w:t>C</w:t>
      </w:r>
      <w:r w:rsidRPr="00BA7963">
        <w:rPr>
          <w:rFonts w:ascii="Calibri" w:eastAsia="DengXian" w:hAnsi="Calibri" w:cs="Calibri"/>
          <w:i/>
          <w:iCs/>
          <w:sz w:val="24"/>
          <w:szCs w:val="24"/>
          <w:vertAlign w:val="subscript"/>
        </w:rPr>
        <w:t>DL</w:t>
      </w:r>
      <w:r w:rsidRPr="00BA7963">
        <w:rPr>
          <w:rFonts w:ascii="Calibri" w:eastAsia="DengXian" w:hAnsi="Calibri" w:cs="Calibri"/>
          <w:sz w:val="24"/>
          <w:szCs w:val="24"/>
        </w:rPr>
        <w:t>) and the scan rate (</w:t>
      </w:r>
      <w:r w:rsidRPr="00BA7963">
        <w:rPr>
          <w:rFonts w:ascii="Calibri" w:eastAsia="DengXian" w:hAnsi="Calibri" w:cs="Calibri"/>
          <w:i/>
          <w:iCs/>
          <w:sz w:val="24"/>
          <w:szCs w:val="24"/>
        </w:rPr>
        <w:t>v</w:t>
      </w:r>
      <w:r w:rsidRPr="00BA7963">
        <w:rPr>
          <w:rFonts w:ascii="Calibri" w:eastAsia="DengXian" w:hAnsi="Calibri" w:cs="Calibri"/>
          <w:sz w:val="24"/>
          <w:szCs w:val="24"/>
        </w:rPr>
        <w:t>), as shown in Equation S6</w:t>
      </w:r>
    </w:p>
    <w:p w14:paraId="62EF77CE" w14:textId="77777777" w:rsidR="009D7F71" w:rsidRPr="009D7F71" w:rsidRDefault="009D7F71" w:rsidP="009D7F71">
      <w:pPr>
        <w:jc w:val="both"/>
        <w:rPr>
          <w:rFonts w:ascii="Calibri" w:eastAsia="DengXian" w:hAnsi="Calibri" w:cs="Calibri"/>
          <w:sz w:val="24"/>
          <w:szCs w:val="24"/>
        </w:rPr>
      </w:pPr>
    </w:p>
    <w:p w14:paraId="17D411A6" w14:textId="77777777" w:rsidR="009D7F71" w:rsidRPr="009D7F71" w:rsidRDefault="00E615B2" w:rsidP="009D7F71">
      <w:pPr>
        <w:jc w:val="center"/>
        <w:rPr>
          <w:rFonts w:ascii="Calibri" w:eastAsia="DengXian" w:hAnsi="Calibri" w:cs="Calibri"/>
          <w:sz w:val="24"/>
          <w:szCs w:val="24"/>
        </w:rPr>
      </w:pPr>
      <m:oMath>
        <m:sSub>
          <m:sSubPr>
            <m:ctrlPr>
              <w:rPr>
                <w:rFonts w:ascii="Cambria Math" w:eastAsia="DengXian" w:hAnsi="Cambria Math" w:cs="Calibri"/>
                <w:i/>
                <w:sz w:val="24"/>
                <w:szCs w:val="24"/>
              </w:rPr>
            </m:ctrlPr>
          </m:sSubPr>
          <m:e>
            <m:r>
              <w:rPr>
                <w:rFonts w:ascii="Cambria Math" w:eastAsia="DengXian" w:hAnsi="Cambria Math" w:cs="Calibri"/>
                <w:sz w:val="24"/>
                <w:szCs w:val="24"/>
              </w:rPr>
              <m:t>i</m:t>
            </m:r>
          </m:e>
          <m:sub>
            <m:r>
              <w:rPr>
                <w:rFonts w:ascii="Cambria Math" w:eastAsia="DengXian" w:hAnsi="Cambria Math" w:cs="Calibri"/>
                <w:sz w:val="24"/>
                <w:szCs w:val="24"/>
              </w:rPr>
              <m:t>c</m:t>
            </m:r>
            <m:r>
              <w:rPr>
                <w:rFonts w:ascii="Cambria Math" w:eastAsia="DengXian" w:hAnsi="Cambria Math" w:cs="Calibri"/>
                <w:sz w:val="24"/>
                <w:szCs w:val="24"/>
              </w:rPr>
              <m:t xml:space="preserve"> </m:t>
            </m:r>
          </m:sub>
        </m:sSub>
        <m:r>
          <w:rPr>
            <w:rFonts w:ascii="Cambria Math" w:eastAsia="DengXian" w:hAnsi="Cambria Math" w:cs="Calibri"/>
            <w:sz w:val="24"/>
            <w:szCs w:val="24"/>
          </w:rPr>
          <m:t xml:space="preserve">= </m:t>
        </m:r>
        <m:sSub>
          <m:sSubPr>
            <m:ctrlPr>
              <w:rPr>
                <w:rFonts w:ascii="Cambria Math" w:eastAsia="DengXian" w:hAnsi="Cambria Math" w:cs="Calibri"/>
                <w:i/>
                <w:sz w:val="24"/>
                <w:szCs w:val="24"/>
              </w:rPr>
            </m:ctrlPr>
          </m:sSubPr>
          <m:e>
            <m:r>
              <w:rPr>
                <w:rFonts w:ascii="Cambria Math" w:eastAsia="DengXian" w:hAnsi="Cambria Math" w:cs="Calibri"/>
                <w:sz w:val="24"/>
                <w:szCs w:val="24"/>
              </w:rPr>
              <m:t>vC</m:t>
            </m:r>
          </m:e>
          <m:sub>
            <m:r>
              <w:rPr>
                <w:rFonts w:ascii="Cambria Math" w:eastAsia="DengXian" w:hAnsi="Cambria Math" w:cs="Calibri"/>
                <w:sz w:val="24"/>
                <w:szCs w:val="24"/>
              </w:rPr>
              <m:t>DL</m:t>
            </m:r>
          </m:sub>
        </m:sSub>
      </m:oMath>
      <w:r w:rsidR="009D7F71" w:rsidRPr="009D7F71">
        <w:rPr>
          <w:rFonts w:ascii="Calibri" w:eastAsia="DengXian" w:hAnsi="Calibri" w:cs="Calibri"/>
          <w:sz w:val="24"/>
          <w:szCs w:val="24"/>
        </w:rPr>
        <w:t xml:space="preserve">                 </w:t>
      </w:r>
      <m:oMath>
        <m:r>
          <m:rPr>
            <m:sty m:val="p"/>
          </m:rPr>
          <w:rPr>
            <w:rFonts w:ascii="Cambria Math" w:eastAsia="DengXian" w:hAnsi="Cambria Math" w:cs="Calibri"/>
            <w:sz w:val="24"/>
            <w:szCs w:val="24"/>
          </w:rPr>
          <m:t>(Equation S6)</m:t>
        </m:r>
      </m:oMath>
    </w:p>
    <w:p w14:paraId="3DB5D1CA" w14:textId="77777777" w:rsidR="009D7F71" w:rsidRPr="009D7F71" w:rsidRDefault="009D7F71" w:rsidP="009D7F71">
      <w:pPr>
        <w:jc w:val="center"/>
        <w:rPr>
          <w:rFonts w:ascii="Calibri" w:eastAsia="DengXian" w:hAnsi="Calibri" w:cs="Calibri"/>
          <w:sz w:val="24"/>
          <w:szCs w:val="24"/>
        </w:rPr>
      </w:pPr>
    </w:p>
    <w:p w14:paraId="033E0CFA" w14:textId="77777777" w:rsidR="009D7F71" w:rsidRPr="009D7F71" w:rsidRDefault="009D7F71" w:rsidP="009D7F71">
      <w:pPr>
        <w:spacing w:before="240"/>
        <w:jc w:val="both"/>
        <w:rPr>
          <w:rFonts w:ascii="Calibri" w:eastAsia="DengXian" w:hAnsi="Calibri" w:cs="Calibri"/>
          <w:sz w:val="24"/>
          <w:szCs w:val="24"/>
        </w:rPr>
      </w:pPr>
      <w:r w:rsidRPr="009D7F71">
        <w:rPr>
          <w:rFonts w:ascii="Calibri" w:eastAsia="DengXian" w:hAnsi="Calibri" w:cs="Calibri"/>
          <w:sz w:val="24"/>
          <w:szCs w:val="24"/>
        </w:rPr>
        <w:t xml:space="preserve">A plot of </w:t>
      </w:r>
      <w:proofErr w:type="spellStart"/>
      <w:r w:rsidRPr="009D7F71">
        <w:rPr>
          <w:rFonts w:ascii="Calibri" w:eastAsia="DengXian" w:hAnsi="Calibri" w:cs="Calibri"/>
          <w:i/>
          <w:iCs/>
          <w:sz w:val="24"/>
          <w:szCs w:val="24"/>
        </w:rPr>
        <w:t>i</w:t>
      </w:r>
      <w:r w:rsidRPr="009D7F71">
        <w:rPr>
          <w:rFonts w:ascii="Calibri" w:eastAsia="DengXian" w:hAnsi="Calibri" w:cs="Calibri"/>
          <w:i/>
          <w:iCs/>
          <w:sz w:val="24"/>
          <w:szCs w:val="24"/>
          <w:vertAlign w:val="subscript"/>
        </w:rPr>
        <w:t>c</w:t>
      </w:r>
      <w:proofErr w:type="spellEnd"/>
      <w:r w:rsidRPr="009D7F71">
        <w:rPr>
          <w:rFonts w:ascii="Calibri" w:eastAsia="DengXian" w:hAnsi="Calibri" w:cs="Calibri"/>
          <w:sz w:val="24"/>
          <w:szCs w:val="24"/>
        </w:rPr>
        <w:t xml:space="preserve"> against </w:t>
      </w:r>
      <w:r w:rsidRPr="009D7F71">
        <w:rPr>
          <w:rFonts w:ascii="Calibri" w:eastAsia="DengXian" w:hAnsi="Calibri" w:cs="Calibri"/>
          <w:i/>
          <w:iCs/>
          <w:sz w:val="24"/>
          <w:szCs w:val="24"/>
        </w:rPr>
        <w:t xml:space="preserve">v </w:t>
      </w:r>
      <w:r w:rsidRPr="009D7F71">
        <w:rPr>
          <w:rFonts w:ascii="Calibri" w:eastAsia="DengXian" w:hAnsi="Calibri" w:cs="Calibri"/>
          <w:sz w:val="24"/>
          <w:szCs w:val="24"/>
        </w:rPr>
        <w:t xml:space="preserve">gives a straight-line graph with a slope equal to </w:t>
      </w:r>
      <w:r w:rsidRPr="009D7F71">
        <w:rPr>
          <w:rFonts w:ascii="Calibri" w:eastAsia="DengXian" w:hAnsi="Calibri" w:cs="Calibri"/>
          <w:i/>
          <w:iCs/>
          <w:sz w:val="24"/>
          <w:szCs w:val="24"/>
        </w:rPr>
        <w:t>C</w:t>
      </w:r>
      <w:r w:rsidRPr="009D7F71">
        <w:rPr>
          <w:rFonts w:ascii="Calibri" w:eastAsia="DengXian" w:hAnsi="Calibri" w:cs="Calibri"/>
          <w:i/>
          <w:iCs/>
          <w:sz w:val="24"/>
          <w:szCs w:val="24"/>
          <w:vertAlign w:val="subscript"/>
        </w:rPr>
        <w:t xml:space="preserve">DL </w:t>
      </w:r>
      <w:r w:rsidRPr="009D7F71">
        <w:rPr>
          <w:rFonts w:ascii="Calibri" w:eastAsia="DengXian" w:hAnsi="Calibri" w:cs="Calibri"/>
          <w:sz w:val="24"/>
          <w:szCs w:val="24"/>
        </w:rPr>
        <w:t xml:space="preserve">(Figure S10b). </w:t>
      </w:r>
    </w:p>
    <w:p w14:paraId="7E847715" w14:textId="77777777" w:rsidR="009D7F71" w:rsidRPr="009D7F71" w:rsidRDefault="009D7F71" w:rsidP="009D7F71">
      <w:pPr>
        <w:spacing w:before="240" w:line="360" w:lineRule="auto"/>
        <w:jc w:val="both"/>
        <w:rPr>
          <w:rFonts w:ascii="Calibri" w:eastAsia="DengXian" w:hAnsi="Calibri" w:cs="Calibri"/>
          <w:sz w:val="24"/>
          <w:szCs w:val="24"/>
        </w:rPr>
      </w:pPr>
      <w:r w:rsidRPr="009D7F71">
        <w:rPr>
          <w:rFonts w:ascii="Calibri" w:eastAsia="DengXian" w:hAnsi="Calibri" w:cs="Calibri"/>
          <w:sz w:val="24"/>
          <w:szCs w:val="24"/>
        </w:rPr>
        <w:lastRenderedPageBreak/>
        <w:t xml:space="preserve">Thus, the electrochemical double-layer capacitance of the electrode, </w:t>
      </w:r>
      <w:r w:rsidRPr="009D7F71">
        <w:rPr>
          <w:rFonts w:ascii="Calibri" w:eastAsia="DengXian" w:hAnsi="Calibri" w:cs="Calibri"/>
          <w:i/>
          <w:iCs/>
          <w:sz w:val="24"/>
          <w:szCs w:val="24"/>
        </w:rPr>
        <w:t>C</w:t>
      </w:r>
      <w:r w:rsidRPr="009D7F71">
        <w:rPr>
          <w:rFonts w:ascii="Calibri" w:eastAsia="DengXian" w:hAnsi="Calibri" w:cs="Calibri"/>
          <w:i/>
          <w:iCs/>
          <w:sz w:val="24"/>
          <w:szCs w:val="24"/>
          <w:vertAlign w:val="subscript"/>
        </w:rPr>
        <w:t>DL</w:t>
      </w:r>
      <w:r w:rsidRPr="009D7F71">
        <w:rPr>
          <w:rFonts w:ascii="Calibri" w:eastAsia="DengXian" w:hAnsi="Calibri" w:cs="Calibri"/>
          <w:sz w:val="24"/>
          <w:szCs w:val="24"/>
        </w:rPr>
        <w:t xml:space="preserve"> = 0.18 × 10</w:t>
      </w:r>
      <w:r w:rsidRPr="009D7F71">
        <w:rPr>
          <w:rFonts w:ascii="Calibri" w:eastAsia="DengXian" w:hAnsi="Calibri" w:cs="Calibri"/>
          <w:sz w:val="24"/>
          <w:szCs w:val="24"/>
          <w:vertAlign w:val="superscript"/>
        </w:rPr>
        <w:t>−3</w:t>
      </w:r>
      <w:r w:rsidRPr="009D7F71">
        <w:rPr>
          <w:rFonts w:ascii="Calibri" w:eastAsia="DengXian" w:hAnsi="Calibri" w:cs="Calibri"/>
          <w:sz w:val="24"/>
          <w:szCs w:val="24"/>
        </w:rPr>
        <w:t xml:space="preserve"> A·s V</w:t>
      </w:r>
      <w:r w:rsidRPr="009D7F71">
        <w:rPr>
          <w:rFonts w:ascii="Calibri" w:eastAsia="DengXian" w:hAnsi="Calibri" w:cs="Calibri"/>
          <w:sz w:val="24"/>
          <w:szCs w:val="24"/>
          <w:vertAlign w:val="superscript"/>
        </w:rPr>
        <w:t>−1</w:t>
      </w:r>
      <w:r w:rsidRPr="009D7F71">
        <w:rPr>
          <w:rFonts w:ascii="Calibri" w:eastAsia="DengXian" w:hAnsi="Calibri" w:cs="Calibri"/>
          <w:sz w:val="24"/>
          <w:szCs w:val="24"/>
        </w:rPr>
        <w:t xml:space="preserve"> (0.18 mF).</w:t>
      </w:r>
    </w:p>
    <w:p w14:paraId="3AD95D8A" w14:textId="77777777" w:rsidR="009D7F71" w:rsidRPr="009D7F71" w:rsidRDefault="009D7F71" w:rsidP="009D7F71">
      <w:pPr>
        <w:spacing w:line="360" w:lineRule="auto"/>
        <w:jc w:val="both"/>
        <w:rPr>
          <w:rFonts w:ascii="Calibri" w:eastAsia="DengXian" w:hAnsi="Calibri" w:cs="Calibri"/>
          <w:sz w:val="24"/>
          <w:szCs w:val="24"/>
        </w:rPr>
      </w:pPr>
      <w:r w:rsidRPr="009D7F71">
        <w:rPr>
          <w:rFonts w:ascii="Calibri" w:eastAsia="DengXian" w:hAnsi="Calibri" w:cs="Calibri"/>
          <w:sz w:val="24"/>
          <w:szCs w:val="24"/>
        </w:rPr>
        <w:t>Thus, the specific capacitance (</w:t>
      </w:r>
      <w:r w:rsidRPr="009D7F71">
        <w:rPr>
          <w:rFonts w:ascii="Calibri" w:eastAsia="DengXian" w:hAnsi="Calibri" w:cs="Calibri"/>
          <w:i/>
          <w:iCs/>
          <w:sz w:val="24"/>
          <w:szCs w:val="24"/>
        </w:rPr>
        <w:t>C</w:t>
      </w:r>
      <w:r w:rsidRPr="009D7F71">
        <w:rPr>
          <w:rFonts w:ascii="Calibri" w:eastAsia="DengXian" w:hAnsi="Calibri" w:cs="Calibri"/>
          <w:i/>
          <w:iCs/>
          <w:sz w:val="24"/>
          <w:szCs w:val="24"/>
          <w:vertAlign w:val="subscript"/>
        </w:rPr>
        <w:t>S</w:t>
      </w:r>
      <w:r w:rsidRPr="009D7F71">
        <w:rPr>
          <w:rFonts w:ascii="Calibri" w:eastAsia="DengXian" w:hAnsi="Calibri" w:cs="Calibri"/>
          <w:sz w:val="24"/>
          <w:szCs w:val="24"/>
        </w:rPr>
        <w:t>) values can be calculated from the cyclic voltammograms by using Equation S7</w:t>
      </w:r>
      <w:r w:rsidRPr="009D7F71">
        <w:rPr>
          <w:rFonts w:ascii="Calibri" w:eastAsia="DengXian" w:hAnsi="Calibri" w:cs="Calibri"/>
          <w:sz w:val="24"/>
          <w:szCs w:val="24"/>
        </w:rPr>
        <w:fldChar w:fldCharType="begin" w:fldLock="1"/>
      </w:r>
      <w:r w:rsidRPr="009D7F71">
        <w:rPr>
          <w:rFonts w:ascii="Calibri" w:eastAsia="DengXian" w:hAnsi="Calibri" w:cs="Calibri"/>
          <w:sz w:val="24"/>
          <w:szCs w:val="24"/>
        </w:rPr>
        <w:instrText>ADDIN CSL_CITATION {"citationItems":[{"id":"ITEM-1","itemData":{"author":[{"dropping-particle":"","family":"Thulasi","given":"Kunnambeth M","non-dropping-particle":"","parse-names":false,"suffix":""},{"dropping-particle":"","family":"Manikkoth","given":"Sindhu Thalappan","non-dropping-particle":"","parse-names":false,"suffix":""},{"dropping-particle":"","family":"Paravannoor","given":"Anjali","non-dropping-particle":"","parse-names":false,"suffix":""},{"dropping-particle":"","family":"Palantavida","given":"Shajesh","non-dropping-particle":"","parse-names":false,"suffix":""},{"dropping-particle":"","family":"Vijayan","given":"Baiju Kizhakkekilikoodayil","non-dropping-particle":"","parse-names":false,"suffix":""}],"id":"ITEM-1","issued":{"date-parts":[["2021"]]},"page":"937-944","title":"Original Contributions","type":"article-journal","volume":"112"},"uris":["http://www.mendeley.com/documents/?uuid=cc906dc5-8883-4ad8-a90c-4da8b8bef177"]}],"mendeley":{"formattedCitation":"&lt;sup&gt;9&lt;/sup&gt;","plainTextFormattedCitation":"9","previouslyFormattedCitation":"&lt;sup&gt;9&lt;/sup&gt;"},"properties":{"noteIndex":0},"schema":"https://github.com/citation-style-language/schema/raw/master/csl-citation.json"}</w:instrText>
      </w:r>
      <w:r w:rsidRPr="009D7F71">
        <w:rPr>
          <w:rFonts w:ascii="Calibri" w:eastAsia="DengXian" w:hAnsi="Calibri" w:cs="Calibri"/>
          <w:sz w:val="24"/>
          <w:szCs w:val="24"/>
        </w:rPr>
        <w:fldChar w:fldCharType="separate"/>
      </w:r>
      <w:r w:rsidRPr="009D7F71">
        <w:rPr>
          <w:rFonts w:ascii="Calibri" w:eastAsia="DengXian" w:hAnsi="Calibri" w:cs="Calibri"/>
          <w:noProof/>
          <w:sz w:val="24"/>
          <w:szCs w:val="24"/>
          <w:vertAlign w:val="superscript"/>
        </w:rPr>
        <w:t>9</w:t>
      </w:r>
      <w:r w:rsidRPr="009D7F71">
        <w:rPr>
          <w:rFonts w:ascii="Calibri" w:eastAsia="DengXian" w:hAnsi="Calibri" w:cs="Calibri"/>
          <w:sz w:val="24"/>
          <w:szCs w:val="24"/>
        </w:rPr>
        <w:fldChar w:fldCharType="end"/>
      </w:r>
      <w:r w:rsidRPr="009D7F71">
        <w:rPr>
          <w:rFonts w:ascii="Calibri" w:eastAsia="DengXian" w:hAnsi="Calibri" w:cs="Calibri"/>
          <w:sz w:val="24"/>
          <w:szCs w:val="24"/>
        </w:rPr>
        <w:t xml:space="preserve"> </w:t>
      </w:r>
    </w:p>
    <w:p w14:paraId="3FE639BF" w14:textId="77777777" w:rsidR="009D7F71" w:rsidRPr="009D7F71" w:rsidRDefault="009D7F71" w:rsidP="009D7F71">
      <w:pPr>
        <w:jc w:val="both"/>
        <w:rPr>
          <w:rFonts w:ascii="Calibri" w:eastAsia="DengXian" w:hAnsi="Calibri" w:cs="Calibri"/>
          <w:sz w:val="24"/>
          <w:szCs w:val="24"/>
        </w:rPr>
      </w:pPr>
    </w:p>
    <w:p w14:paraId="7E421A37" w14:textId="77777777" w:rsidR="009D7F71" w:rsidRPr="009D7F71" w:rsidRDefault="00E615B2" w:rsidP="009D7F71">
      <w:pPr>
        <w:jc w:val="center"/>
        <w:rPr>
          <w:rFonts w:ascii="Calibri" w:eastAsia="DengXian" w:hAnsi="Calibri" w:cs="Calibri"/>
          <w:sz w:val="24"/>
          <w:szCs w:val="24"/>
        </w:rPr>
      </w:pPr>
      <m:oMath>
        <m:sSub>
          <m:sSubPr>
            <m:ctrlPr>
              <w:rPr>
                <w:rFonts w:ascii="Cambria Math" w:eastAsia="DengXian" w:hAnsi="Cambria Math" w:cs="Calibri"/>
                <w:i/>
                <w:sz w:val="24"/>
                <w:szCs w:val="24"/>
              </w:rPr>
            </m:ctrlPr>
          </m:sSubPr>
          <m:e>
            <m:r>
              <w:rPr>
                <w:rFonts w:ascii="Cambria Math" w:eastAsia="DengXian" w:hAnsi="Cambria Math" w:cs="Calibri"/>
                <w:sz w:val="24"/>
                <w:szCs w:val="24"/>
              </w:rPr>
              <m:t>C</m:t>
            </m:r>
          </m:e>
          <m:sub>
            <m:r>
              <w:rPr>
                <w:rFonts w:ascii="Cambria Math" w:eastAsia="DengXian" w:hAnsi="Cambria Math" w:cs="Calibri"/>
                <w:sz w:val="24"/>
                <w:szCs w:val="24"/>
              </w:rPr>
              <m:t>S</m:t>
            </m:r>
            <m:r>
              <w:rPr>
                <w:rFonts w:ascii="Cambria Math" w:eastAsia="DengXian" w:hAnsi="Cambria Math" w:cs="Calibri"/>
                <w:sz w:val="24"/>
                <w:szCs w:val="24"/>
              </w:rPr>
              <m:t xml:space="preserve"> = </m:t>
            </m:r>
          </m:sub>
        </m:sSub>
        <m:f>
          <m:fPr>
            <m:ctrlPr>
              <w:rPr>
                <w:rFonts w:ascii="Cambria Math" w:eastAsia="DengXian" w:hAnsi="Cambria Math" w:cs="Calibri"/>
                <w:i/>
                <w:sz w:val="24"/>
                <w:szCs w:val="24"/>
              </w:rPr>
            </m:ctrlPr>
          </m:fPr>
          <m:num>
            <m:r>
              <w:rPr>
                <w:rFonts w:ascii="Cambria Math" w:eastAsia="DengXian" w:hAnsi="Cambria Math" w:cs="Calibri"/>
                <w:sz w:val="24"/>
                <w:szCs w:val="24"/>
              </w:rPr>
              <m:t>1</m:t>
            </m:r>
          </m:num>
          <m:den>
            <m:r>
              <m:rPr>
                <m:sty m:val="bi"/>
              </m:rPr>
              <w:rPr>
                <w:rFonts w:ascii="Cambria Math" w:eastAsia="DengXian" w:hAnsi="Cambria Math" w:cs="Calibri"/>
                <w:sz w:val="24"/>
                <w:szCs w:val="24"/>
              </w:rPr>
              <m:t>Γ</m:t>
            </m:r>
            <m:r>
              <w:rPr>
                <w:rFonts w:ascii="Cambria Math" w:eastAsia="DengXian" w:hAnsi="Cambria Math" w:cs="Calibri"/>
                <w:sz w:val="24"/>
                <w:szCs w:val="24"/>
              </w:rPr>
              <m:t>v</m:t>
            </m:r>
            <m:r>
              <w:rPr>
                <w:rFonts w:ascii="Cambria Math" w:eastAsia="DengXian" w:hAnsi="Cambria Math" w:cs="Calibri"/>
                <w:sz w:val="24"/>
                <w:szCs w:val="24"/>
              </w:rPr>
              <m:t xml:space="preserve"> </m:t>
            </m:r>
            <m:d>
              <m:dPr>
                <m:ctrlPr>
                  <w:rPr>
                    <w:rFonts w:ascii="Cambria Math" w:eastAsia="DengXian" w:hAnsi="Cambria Math" w:cs="Calibri"/>
                    <w:i/>
                    <w:sz w:val="24"/>
                    <w:szCs w:val="24"/>
                  </w:rPr>
                </m:ctrlPr>
              </m:dPr>
              <m:e>
                <m:sSub>
                  <m:sSubPr>
                    <m:ctrlPr>
                      <w:rPr>
                        <w:rFonts w:ascii="Cambria Math" w:eastAsia="DengXian" w:hAnsi="Cambria Math" w:cs="Calibri"/>
                        <w:i/>
                        <w:sz w:val="24"/>
                        <w:szCs w:val="24"/>
                      </w:rPr>
                    </m:ctrlPr>
                  </m:sSubPr>
                  <m:e>
                    <m:r>
                      <w:rPr>
                        <w:rFonts w:ascii="Cambria Math" w:eastAsia="DengXian" w:hAnsi="Cambria Math" w:cs="Calibri"/>
                        <w:sz w:val="24"/>
                        <w:szCs w:val="24"/>
                      </w:rPr>
                      <m:t>V</m:t>
                    </m:r>
                  </m:e>
                  <m:sub>
                    <m:r>
                      <w:rPr>
                        <w:rFonts w:ascii="Cambria Math" w:eastAsia="DengXian" w:hAnsi="Cambria Math" w:cs="Calibri"/>
                        <w:sz w:val="24"/>
                        <w:szCs w:val="24"/>
                      </w:rPr>
                      <m:t xml:space="preserve">2  </m:t>
                    </m:r>
                  </m:sub>
                </m:sSub>
                <m:r>
                  <w:rPr>
                    <w:rFonts w:ascii="Cambria Math" w:eastAsia="DengXian" w:hAnsi="Cambria Math" w:cs="Calibri"/>
                    <w:sz w:val="24"/>
                    <w:szCs w:val="24"/>
                  </w:rPr>
                  <m:t>-</m:t>
                </m:r>
                <m:sSub>
                  <m:sSubPr>
                    <m:ctrlPr>
                      <w:rPr>
                        <w:rFonts w:ascii="Cambria Math" w:eastAsia="DengXian" w:hAnsi="Cambria Math" w:cs="Calibri"/>
                        <w:i/>
                        <w:sz w:val="24"/>
                        <w:szCs w:val="24"/>
                      </w:rPr>
                    </m:ctrlPr>
                  </m:sSubPr>
                  <m:e>
                    <m:r>
                      <w:rPr>
                        <w:rFonts w:ascii="Cambria Math" w:eastAsia="DengXian" w:hAnsi="Cambria Math" w:cs="Calibri"/>
                        <w:sz w:val="24"/>
                        <w:szCs w:val="24"/>
                      </w:rPr>
                      <m:t xml:space="preserve"> </m:t>
                    </m:r>
                    <m:r>
                      <w:rPr>
                        <w:rFonts w:ascii="Cambria Math" w:eastAsia="DengXian" w:hAnsi="Cambria Math" w:cs="Calibri"/>
                        <w:sz w:val="24"/>
                        <w:szCs w:val="24"/>
                      </w:rPr>
                      <m:t>V</m:t>
                    </m:r>
                  </m:e>
                  <m:sub>
                    <m:r>
                      <w:rPr>
                        <w:rFonts w:ascii="Cambria Math" w:eastAsia="DengXian" w:hAnsi="Cambria Math" w:cs="Calibri"/>
                        <w:sz w:val="24"/>
                        <w:szCs w:val="24"/>
                      </w:rPr>
                      <m:t>1</m:t>
                    </m:r>
                  </m:sub>
                </m:sSub>
              </m:e>
            </m:d>
          </m:den>
        </m:f>
        <m:nary>
          <m:naryPr>
            <m:limLoc m:val="subSup"/>
            <m:ctrlPr>
              <w:rPr>
                <w:rFonts w:ascii="Cambria Math" w:eastAsia="DengXian" w:hAnsi="Cambria Math" w:cs="Calibri"/>
                <w:i/>
                <w:sz w:val="24"/>
                <w:szCs w:val="24"/>
              </w:rPr>
            </m:ctrlPr>
          </m:naryPr>
          <m:sub>
            <m:sSub>
              <m:sSubPr>
                <m:ctrlPr>
                  <w:rPr>
                    <w:rFonts w:ascii="Cambria Math" w:eastAsia="DengXian" w:hAnsi="Cambria Math" w:cs="Calibri"/>
                    <w:i/>
                    <w:sz w:val="24"/>
                    <w:szCs w:val="24"/>
                  </w:rPr>
                </m:ctrlPr>
              </m:sSubPr>
              <m:e>
                <m:r>
                  <w:rPr>
                    <w:rFonts w:ascii="Cambria Math" w:eastAsia="DengXian" w:hAnsi="Cambria Math" w:cs="Calibri"/>
                    <w:sz w:val="24"/>
                    <w:szCs w:val="24"/>
                  </w:rPr>
                  <m:t>V</m:t>
                </m:r>
              </m:e>
              <m:sub>
                <m:r>
                  <w:rPr>
                    <w:rFonts w:ascii="Cambria Math" w:eastAsia="DengXian" w:hAnsi="Cambria Math" w:cs="Calibri"/>
                    <w:sz w:val="24"/>
                    <w:szCs w:val="24"/>
                  </w:rPr>
                  <m:t>1</m:t>
                </m:r>
              </m:sub>
            </m:sSub>
          </m:sub>
          <m:sup>
            <m:sSub>
              <m:sSubPr>
                <m:ctrlPr>
                  <w:rPr>
                    <w:rFonts w:ascii="Cambria Math" w:eastAsia="DengXian" w:hAnsi="Cambria Math" w:cs="Calibri"/>
                    <w:i/>
                    <w:sz w:val="24"/>
                    <w:szCs w:val="24"/>
                  </w:rPr>
                </m:ctrlPr>
              </m:sSubPr>
              <m:e>
                <m:r>
                  <w:rPr>
                    <w:rFonts w:ascii="Cambria Math" w:eastAsia="DengXian" w:hAnsi="Cambria Math" w:cs="Calibri"/>
                    <w:sz w:val="24"/>
                    <w:szCs w:val="24"/>
                  </w:rPr>
                  <m:t>V</m:t>
                </m:r>
              </m:e>
              <m:sub>
                <m:r>
                  <w:rPr>
                    <w:rFonts w:ascii="Cambria Math" w:eastAsia="DengXian" w:hAnsi="Cambria Math" w:cs="Calibri"/>
                    <w:sz w:val="24"/>
                    <w:szCs w:val="24"/>
                  </w:rPr>
                  <m:t>2</m:t>
                </m:r>
              </m:sub>
            </m:sSub>
          </m:sup>
          <m:e>
            <m:r>
              <w:rPr>
                <w:rFonts w:ascii="Cambria Math" w:eastAsia="DengXian" w:hAnsi="Cambria Math" w:cs="Calibri"/>
                <w:sz w:val="24"/>
                <w:szCs w:val="24"/>
              </w:rPr>
              <m:t>I</m:t>
            </m:r>
            <m:d>
              <m:dPr>
                <m:ctrlPr>
                  <w:rPr>
                    <w:rFonts w:ascii="Cambria Math" w:eastAsia="DengXian" w:hAnsi="Cambria Math" w:cs="Calibri"/>
                    <w:i/>
                    <w:sz w:val="24"/>
                    <w:szCs w:val="24"/>
                  </w:rPr>
                </m:ctrlPr>
              </m:dPr>
              <m:e>
                <m:r>
                  <w:rPr>
                    <w:rFonts w:ascii="Cambria Math" w:eastAsia="DengXian" w:hAnsi="Cambria Math" w:cs="Calibri"/>
                    <w:sz w:val="24"/>
                    <w:szCs w:val="24"/>
                  </w:rPr>
                  <m:t>V</m:t>
                </m:r>
              </m:e>
            </m:d>
            <m:r>
              <w:rPr>
                <w:rFonts w:ascii="Cambria Math" w:eastAsia="DengXian" w:hAnsi="Cambria Math" w:cs="Calibri"/>
                <w:sz w:val="24"/>
                <w:szCs w:val="24"/>
              </w:rPr>
              <m:t>dV</m:t>
            </m:r>
          </m:e>
        </m:nary>
      </m:oMath>
      <w:r w:rsidR="009D7F71" w:rsidRPr="009D7F71">
        <w:rPr>
          <w:rFonts w:ascii="Calibri" w:eastAsia="DengXian" w:hAnsi="Calibri" w:cs="Calibri"/>
          <w:sz w:val="24"/>
          <w:szCs w:val="24"/>
        </w:rPr>
        <w:t xml:space="preserve">                    (Equation S7)</w:t>
      </w:r>
    </w:p>
    <w:p w14:paraId="48F4BB46" w14:textId="77777777" w:rsidR="009D7F71" w:rsidRPr="009D7F71" w:rsidRDefault="009D7F71" w:rsidP="009D7F71">
      <w:pPr>
        <w:jc w:val="center"/>
        <w:rPr>
          <w:rFonts w:ascii="Calibri" w:eastAsia="DengXian" w:hAnsi="Calibri" w:cs="Calibri"/>
          <w:sz w:val="24"/>
          <w:szCs w:val="24"/>
        </w:rPr>
      </w:pPr>
    </w:p>
    <w:p w14:paraId="1A3A3F31" w14:textId="606F01A3" w:rsidR="009D7F71" w:rsidRDefault="009D7F71" w:rsidP="009D7F71">
      <w:pPr>
        <w:spacing w:line="360" w:lineRule="auto"/>
        <w:jc w:val="both"/>
        <w:rPr>
          <w:rFonts w:ascii="Calibri" w:eastAsia="DengXian" w:hAnsi="Calibri" w:cs="Calibri"/>
          <w:color w:val="4D5156"/>
          <w:sz w:val="24"/>
          <w:szCs w:val="24"/>
          <w:shd w:val="clear" w:color="auto" w:fill="FFFFFF"/>
        </w:rPr>
      </w:pPr>
      <w:r w:rsidRPr="00BA7963">
        <w:rPr>
          <w:rFonts w:ascii="Calibri" w:eastAsia="DengXian" w:hAnsi="Calibri" w:cs="Calibri"/>
          <w:sz w:val="24"/>
          <w:szCs w:val="24"/>
        </w:rPr>
        <w:t xml:space="preserve">Where </w:t>
      </w:r>
      <w:r w:rsidRPr="00BA7963">
        <w:rPr>
          <w:rFonts w:ascii="Calibri" w:eastAsia="DengXian" w:hAnsi="Calibri" w:cs="Calibri"/>
          <w:b/>
          <w:bCs/>
          <w:i/>
          <w:iCs/>
          <w:sz w:val="24"/>
          <w:szCs w:val="24"/>
        </w:rPr>
        <w:t>Γ</w:t>
      </w:r>
      <w:r w:rsidRPr="00BA7963">
        <w:rPr>
          <w:rFonts w:ascii="Calibri" w:eastAsia="DengXian" w:hAnsi="Calibri" w:cs="Calibri"/>
          <w:sz w:val="24"/>
          <w:szCs w:val="24"/>
        </w:rPr>
        <w:t xml:space="preserve"> is the area of the working electrode in cm</w:t>
      </w:r>
      <w:r w:rsidRPr="00BA7963">
        <w:rPr>
          <w:rFonts w:ascii="Calibri" w:eastAsia="DengXian" w:hAnsi="Calibri" w:cs="Calibri"/>
          <w:sz w:val="24"/>
          <w:szCs w:val="24"/>
          <w:vertAlign w:val="superscript"/>
        </w:rPr>
        <w:t>2</w:t>
      </w:r>
      <w:r w:rsidRPr="00BA7963">
        <w:rPr>
          <w:rFonts w:ascii="Calibri" w:eastAsia="DengXian" w:hAnsi="Calibri" w:cs="Calibri"/>
          <w:sz w:val="24"/>
          <w:szCs w:val="24"/>
        </w:rPr>
        <w:t xml:space="preserve">, </w:t>
      </w:r>
      <w:r w:rsidRPr="00BA7963">
        <w:rPr>
          <w:rFonts w:ascii="Calibri" w:eastAsia="DengXian" w:hAnsi="Calibri" w:cs="Calibri"/>
          <w:i/>
          <w:iCs/>
          <w:sz w:val="24"/>
          <w:szCs w:val="24"/>
        </w:rPr>
        <w:t xml:space="preserve">v </w:t>
      </w:r>
      <w:r w:rsidRPr="00BA7963">
        <w:rPr>
          <w:rFonts w:ascii="Calibri" w:eastAsia="DengXian" w:hAnsi="Calibri" w:cs="Calibri"/>
          <w:sz w:val="24"/>
          <w:szCs w:val="24"/>
        </w:rPr>
        <w:t>is the scan rate in V s</w:t>
      </w:r>
      <w:r w:rsidRPr="00BA7963">
        <w:rPr>
          <w:rFonts w:ascii="Calibri" w:eastAsia="DengXian" w:hAnsi="Calibri" w:cs="Calibri"/>
          <w:sz w:val="24"/>
          <w:szCs w:val="24"/>
          <w:vertAlign w:val="superscript"/>
        </w:rPr>
        <w:t>−1</w:t>
      </w:r>
      <w:r w:rsidRPr="00BA7963">
        <w:rPr>
          <w:rFonts w:ascii="Calibri" w:eastAsia="DengXian" w:hAnsi="Calibri" w:cs="Calibri"/>
          <w:sz w:val="24"/>
          <w:szCs w:val="24"/>
        </w:rPr>
        <w:t xml:space="preserve"> and (V</w:t>
      </w:r>
      <w:r w:rsidRPr="00BA7963">
        <w:rPr>
          <w:rFonts w:ascii="Calibri" w:eastAsia="DengXian" w:hAnsi="Calibri" w:cs="Calibri"/>
          <w:sz w:val="24"/>
          <w:szCs w:val="24"/>
          <w:vertAlign w:val="subscript"/>
        </w:rPr>
        <w:t>2</w:t>
      </w:r>
      <w:r w:rsidRPr="00BA7963">
        <w:rPr>
          <w:rFonts w:ascii="Calibri" w:eastAsia="DengXian" w:hAnsi="Calibri" w:cs="Calibri"/>
          <w:sz w:val="24"/>
          <w:szCs w:val="24"/>
        </w:rPr>
        <w:t xml:space="preserve"> – V</w:t>
      </w:r>
      <w:r w:rsidRPr="00BA7963">
        <w:rPr>
          <w:rFonts w:ascii="Calibri" w:eastAsia="DengXian" w:hAnsi="Calibri" w:cs="Calibri"/>
          <w:sz w:val="24"/>
          <w:szCs w:val="24"/>
          <w:vertAlign w:val="subscript"/>
        </w:rPr>
        <w:t>1</w:t>
      </w:r>
      <w:r w:rsidRPr="00BA7963">
        <w:rPr>
          <w:rFonts w:ascii="Calibri" w:eastAsia="DengXian" w:hAnsi="Calibri" w:cs="Calibri"/>
          <w:sz w:val="24"/>
          <w:szCs w:val="24"/>
        </w:rPr>
        <w:t>) is the potential window expressed in V. The specific capacitance at a scan rate of 1 V s</w:t>
      </w:r>
      <w:r w:rsidRPr="00BA7963">
        <w:rPr>
          <w:rFonts w:ascii="Calibri" w:eastAsia="DengXian" w:hAnsi="Calibri" w:cs="Calibri"/>
          <w:sz w:val="24"/>
          <w:szCs w:val="24"/>
          <w:vertAlign w:val="superscript"/>
        </w:rPr>
        <w:t>−1</w:t>
      </w:r>
      <w:r w:rsidRPr="00BA7963">
        <w:rPr>
          <w:rFonts w:ascii="Calibri" w:eastAsia="DengXian" w:hAnsi="Calibri" w:cs="Calibri"/>
          <w:sz w:val="24"/>
          <w:szCs w:val="24"/>
        </w:rPr>
        <w:t xml:space="preserve"> was found to be 1.21 × 10</w:t>
      </w:r>
      <w:r w:rsidRPr="00BA7963">
        <w:rPr>
          <w:rFonts w:ascii="Calibri" w:eastAsia="DengXian" w:hAnsi="Calibri" w:cs="Calibri"/>
          <w:sz w:val="24"/>
          <w:szCs w:val="24"/>
          <w:vertAlign w:val="superscript"/>
        </w:rPr>
        <w:t>−4</w:t>
      </w:r>
      <w:r w:rsidRPr="00BA7963">
        <w:rPr>
          <w:rFonts w:ascii="Calibri" w:eastAsia="DengXian" w:hAnsi="Calibri" w:cs="Calibri"/>
          <w:sz w:val="24"/>
          <w:szCs w:val="24"/>
        </w:rPr>
        <w:t xml:space="preserve"> A·s V</w:t>
      </w:r>
      <w:r w:rsidRPr="00BA7963">
        <w:rPr>
          <w:rFonts w:ascii="Calibri" w:eastAsia="DengXian" w:hAnsi="Calibri" w:cs="Calibri"/>
          <w:sz w:val="24"/>
          <w:szCs w:val="24"/>
          <w:vertAlign w:val="superscript"/>
        </w:rPr>
        <w:t>−1</w:t>
      </w:r>
      <w:r w:rsidRPr="00BA7963">
        <w:rPr>
          <w:rFonts w:ascii="Calibri" w:eastAsia="DengXian" w:hAnsi="Calibri" w:cs="Calibri"/>
          <w:sz w:val="24"/>
          <w:szCs w:val="24"/>
        </w:rPr>
        <w:t xml:space="preserve"> cm</w:t>
      </w:r>
      <w:r w:rsidRPr="00BA7963">
        <w:rPr>
          <w:rFonts w:ascii="Calibri" w:eastAsia="DengXian" w:hAnsi="Calibri" w:cs="Calibri"/>
          <w:sz w:val="24"/>
          <w:szCs w:val="24"/>
          <w:vertAlign w:val="superscript"/>
        </w:rPr>
        <w:t>−2</w:t>
      </w:r>
      <w:r w:rsidRPr="00BA7963">
        <w:rPr>
          <w:rFonts w:ascii="Calibri" w:eastAsia="DengXian" w:hAnsi="Calibri" w:cs="Calibri"/>
          <w:sz w:val="24"/>
          <w:szCs w:val="24"/>
        </w:rPr>
        <w:t xml:space="preserve">. By substituting the values of capacitance and the specific capacitance into equation 5, an ECSA value of </w:t>
      </w:r>
      <w:bookmarkStart w:id="18" w:name="_Hlk151058406"/>
      <w:r w:rsidRPr="00BA7963">
        <w:rPr>
          <w:rFonts w:ascii="Calibri" w:eastAsia="DengXian" w:hAnsi="Calibri" w:cs="Calibri"/>
          <w:sz w:val="24"/>
          <w:szCs w:val="24"/>
        </w:rPr>
        <w:t>1.49 cm</w:t>
      </w:r>
      <w:r w:rsidRPr="00BA7963">
        <w:rPr>
          <w:rFonts w:ascii="Calibri" w:eastAsia="DengXian" w:hAnsi="Calibri" w:cs="Calibri"/>
          <w:sz w:val="24"/>
          <w:szCs w:val="24"/>
          <w:vertAlign w:val="superscript"/>
        </w:rPr>
        <w:t>−2</w:t>
      </w:r>
      <w:r w:rsidRPr="00BA7963">
        <w:rPr>
          <w:rFonts w:ascii="Calibri" w:eastAsia="DengXian" w:hAnsi="Calibri" w:cs="Calibri"/>
          <w:sz w:val="24"/>
          <w:szCs w:val="24"/>
        </w:rPr>
        <w:t xml:space="preserve"> </w:t>
      </w:r>
      <w:bookmarkEnd w:id="18"/>
      <w:r w:rsidRPr="00E615B2">
        <w:rPr>
          <w:rFonts w:ascii="Calibri" w:eastAsia="DengXian" w:hAnsi="Calibri" w:cs="Calibri"/>
          <w:sz w:val="24"/>
          <w:szCs w:val="24"/>
        </w:rPr>
        <w:t>was obtained. This ECSA value can be compared with other electrode materials like Ni (0.43 cm</w:t>
      </w:r>
      <w:r w:rsidRPr="00E615B2">
        <w:rPr>
          <w:rFonts w:ascii="Calibri" w:eastAsia="DengXian" w:hAnsi="Calibri" w:cs="Calibri"/>
          <w:sz w:val="24"/>
          <w:szCs w:val="24"/>
          <w:vertAlign w:val="superscript"/>
        </w:rPr>
        <w:t>−2</w:t>
      </w:r>
      <w:r w:rsidRPr="00E615B2">
        <w:rPr>
          <w:rFonts w:ascii="Calibri" w:eastAsia="DengXian" w:hAnsi="Calibri" w:cs="Calibri"/>
          <w:sz w:val="24"/>
          <w:szCs w:val="24"/>
        </w:rPr>
        <w:t>), Au (1.7 cm</w:t>
      </w:r>
      <w:r w:rsidRPr="00E615B2">
        <w:rPr>
          <w:rFonts w:ascii="Calibri" w:eastAsia="DengXian" w:hAnsi="Calibri" w:cs="Calibri"/>
          <w:sz w:val="24"/>
          <w:szCs w:val="24"/>
          <w:vertAlign w:val="superscript"/>
        </w:rPr>
        <w:t>−2</w:t>
      </w:r>
      <w:r w:rsidRPr="00E615B2">
        <w:rPr>
          <w:rFonts w:ascii="Calibri" w:eastAsia="DengXian" w:hAnsi="Calibri" w:cs="Calibri"/>
          <w:sz w:val="24"/>
          <w:szCs w:val="24"/>
        </w:rPr>
        <w:t>), and Mn (3.2 cm</w:t>
      </w:r>
      <w:r w:rsidRPr="00E615B2">
        <w:rPr>
          <w:rFonts w:ascii="Calibri" w:eastAsia="DengXian" w:hAnsi="Calibri" w:cs="Calibri"/>
          <w:sz w:val="24"/>
          <w:szCs w:val="24"/>
          <w:vertAlign w:val="superscript"/>
        </w:rPr>
        <w:t>−2</w:t>
      </w:r>
      <w:r w:rsidRPr="00E615B2">
        <w:rPr>
          <w:rFonts w:ascii="Calibri" w:eastAsia="DengXian" w:hAnsi="Calibri" w:cs="Calibri"/>
          <w:sz w:val="24"/>
          <w:szCs w:val="24"/>
        </w:rPr>
        <w:t>).</w:t>
      </w:r>
      <w:r w:rsidRPr="00E615B2">
        <w:rPr>
          <w:rFonts w:ascii="Calibri" w:eastAsia="DengXian" w:hAnsi="Calibri" w:cs="Calibri"/>
          <w:sz w:val="24"/>
          <w:szCs w:val="24"/>
        </w:rPr>
        <w:fldChar w:fldCharType="begin" w:fldLock="1"/>
      </w:r>
      <w:r w:rsidR="00504AA0" w:rsidRPr="00E615B2">
        <w:rPr>
          <w:rFonts w:ascii="Calibri" w:eastAsia="DengXian" w:hAnsi="Calibri" w:cs="Calibri"/>
          <w:sz w:val="24"/>
          <w:szCs w:val="24"/>
        </w:rPr>
        <w:instrText xml:space="preserve">ADDIN CSL_CITATION {"citationItems":[{"id":"ITEM-1","itemData":{"DOI":"10.1016/j.jelechem.2020.114246","ISSN":"15726657","abstract":"Electrochemical processes, such as energy conversion and storage, water electrolysis and other electrocatalytic processes call for expensive noble metal catalysts to provide efficient performance of their systems. The use of those expensive catalysts does not allow for feasible industrial scale operation of such processes. Researchers have therefore moved their focus to non-noble metals such as nickel (Ni), which are inexpensive yet still have high catalytic performance. When evaluating electrochemical performance, it is imperative to quantify the electrochemical active surface area (ECSA) of the materials, however for Ni-based materials, this has proven to be quite challenging. In this study, four ECSA methods are compared for four Ni-based nanostructured catalysts as well as polycrystalline Ni, to determine whether one method is more representative than the other, or whether the appropriate method depends on the type of Ni being used. The tested methods were carried out in an alkaline environment and were based on (i) the double layer capacitance obtained through non-faradaic charging by cyclic voltammetry as well as the charge associated to (ii) the α-Ni(OH)2 oxidation peak, (iii) the β-NiOOH reduction peak and finally (iv) the β-NiOOH reduction peak in the presence of oxalic acid. The methods were applied to Ni wire, various shaped Ni nanoparticles (NPs) such as triangle, urchin and spherical, as well as Ni foams. Electrochemical results of this study, along with scanning and transmission electron microscopy (SEM and TEM) and X-ray diffraction (XRD) analyses are reported and a detailed discussion on the applicability of the methods is provided.","author":[{"dropping-particle":"","family":"Cossar","given":"Emily","non-dropping-particle":"","parse-names":false,"suffix":""},{"dropping-particle":"","family":"Houache","given":"Mohamed S.E.","non-dropping-particle":"","parse-names":false,"suffix":""},{"dropping-particle":"","family":"Zhang","given":"Zhihao","non-dropping-particle":"","parse-names":false,"suffix":""},{"dropping-particle":"","family":"Baranova","given":"Elena A.","non-dropping-particle":"","parse-names":false,"suffix":""}],"container-title":"Journal of Electroanalytical Chemistry","id":"ITEM-1","issued":{"date-parts":[["2020"]]},"page":"114246","publisher":"Elsevier B.V.","title":"Comparison of electrochemical active surface area methods for various nickel nanostructures","type":"article-journal","volume":"870"},"uris":["http://www.mendeley.com/documents/?uuid=11200676-5130-42b1-ac34-c1642143a186"]},{"id":"ITEM-2","itemData":{"DOI":"10.1149/2.0211512jes","ISSN":"0013-4651","abstract":"© 2015 The Electrochemical Society.Iridium oxide is one of the most common anode catalysts in commercial proton exchange membrane (PEM) electrolyzers because of its strong mix of high activity and stability under oxygen evolution reaction (OER) conditions. Unfortunately, benchmarking iridium oxide OER catalysts has proven difficult since IrO&lt;inf&gt;2&lt;/inf&gt; cannot undergo proton underpotential deposition like platinum and other transition metal eletrocatalysts, making it difficult to estimate the electrochemically active surface area (ECSA), as well as OER specific and mass activity. In this work, we propose a method to calculate the ECSA of iridium oxide in an operating PEM electrolyzer. A universal constant, 596 (± 21) μC/cm&lt;sup&gt;2&lt;/sup&gt;, was obtained from the correlation of pseudocapacitive charge and ECSA of iridium oxide. In the membrane electrode assembly (MEA), the calculated ECSA (1.81 (±0.065) m&lt;sup&gt;2&lt;/sup&gt; over a 25-cm&lt;sup&gt;2&lt;/sup&gt; geometric area) showed an iridium oxide catalyst utilization of </w:instrText>
      </w:r>
      <w:r w:rsidR="00504AA0" w:rsidRPr="00E615B2">
        <w:rPr>
          <w:rFonts w:ascii="Cambria Math" w:eastAsia="DengXian" w:hAnsi="Cambria Math" w:cs="Cambria Math"/>
          <w:sz w:val="24"/>
          <w:szCs w:val="24"/>
        </w:rPr>
        <w:instrText>∼</w:instrText>
      </w:r>
      <w:r w:rsidR="00504AA0" w:rsidRPr="00E615B2">
        <w:rPr>
          <w:rFonts w:ascii="Calibri" w:eastAsia="DengXian" w:hAnsi="Calibri" w:cs="Calibri"/>
          <w:sz w:val="24"/>
          <w:szCs w:val="24"/>
        </w:rPr>
        <w:instrText>93%. Additionally, the IrO&lt;inf&gt;2&lt;/inf&gt; OER specific and mass activities at 80°C, 1.6 V in an operating PEM electrolyzer were 0.401 (±0.014) mA/cm&lt;sup&gt;2&lt;/sup&gt; and 132 mA/mg, respectively.","author":[{"dropping-particle":"","family":"Zhao","given":"Shuai","non-dropping-particle":"","parse-names":false,"suffix":""},{"dropping-particle":"","family":"Yu","given":"Haoran","non-dropping-particle":"","parse-names":false,"suffix":""},{"dropping-particle":"","family":"Maric","given":"Radenka","non-dropping-particle":"","parse-names":false,"suffix":""},{"dropping-particle":"","family":"Danilovic","given":"Nemanja","non-dropping-particle":"","parse-names":false,"suffix":""},{"dropping-particle":"","family":"Capuano","given":"Christopher B.","non-dropping-particle":"","parse-names":false,"suffix":""},{"dropping-particle":"","family":"Ayers","given":"Katherine E.","non-dropping-particle":"","parse-names":false,"suffix":""},{"dropping-particle":"","family":"Mustain","given":"William E.","non-dropping-particle":"","parse-names":false,"suffix":""}],"container-title":"Journal of The Electrochemical Society","id":"ITEM-2","issue":"12","issued":{"date-parts":[["2015"]]},"page":"F1292-F1298","title":"Calculating the Electrochemically Active Surface Area of Iridium Oxide in Operating Proton Exchange Membrane Electrolyzers","type":"article-journal","volume":"162"},"uris":["http://www.mendeley.com/documents/?uuid=d86e7101-972f-40a5-acb8-81879e7c425a"]},{"id":"ITEM-3","itemData":{"DOI":"10.1515/zpch-2019-1514","ISSN":"09429352","abstract":"In the last decades several different catalysts for the electrochemical water splitting reaction have been designed and tested. In so-called benchmark papers they are compared with respect to their efficiency and activity. In order to relate the different catalyst to each other the definition of well-defined procedures is required. Two different methods are mainly used: Either the normalization with respect to the geometric surface area or to the catalyst loading. Most often only one of these values is available for a sample and the other one cannot be estimated easily. One approach in electrocatalysis is to determine the Helmholtz double layer capacitance (DLC) and deduce the electrochemical active surface area (ECSA). The DLC can be obtained from two different methods, either using differential capacitance measurement (DCM) or impedance spectroscopy (EIS). The second value needed for the calculation of the ECSA is the specific capacitance, which is the capacitance for a perfectly flat surface of given catalyst material. Here, we present the determination of the different capacitance values using manganese oxide as the exemplary model for the oxygen evolution reaction (OER). We determine the capacitance by DCM and EIS to calculate the ECSA using literature values for the specific capacitance. The obtained values are comparable from the two methods, but are much larger than the surface areas obtained by atomic force microscopy. Therefore, we consider the possibility of using the measured AFM area together with the Helmholtz capacitance to determine the specific capacitances for this material class. The comparison of these results with literature values illustrates the actual limits of the ECSA method, which will be discussed in this paper.","author":[{"dropping-particle":"","family":"Connor","given":"Paula","non-dropping-particle":"","parse-names":false,"suffix":""},{"dropping-particle":"","family":"Schuch","given":"Jona","non-dropping-particle":"","parse-names":false,"suffix":""},{"dropping-particle":"","family":"Kaiser","given":"Bernhard","non-dropping-particle":"","parse-names":false,"suffix":""},{"dropping-particle":"","family":"Jaegermann","given":"Wolfram","non-dropping-particle":"","parse-names":false,"suffix":""}],"container-title":"Zeitschrift fur Physikalische Chemie","id":"ITEM-3","issue":"5","issued":{"date-parts":[["2020"]]},"page":"979-994","title":"The Determination of Electrochemical Active Surface Area and Specific Capacity Revisited for the System MnOx as an Oxygen Evolution Catalyst","type":"article-journal","volume":"234"},"uris":["http://www.mendeley.com/documents/?uuid=64085dcd-d700-469b-83de-a60f0f36fb50"]}],"mendeley":{"formattedCitation":"&lt;sup&gt;10–12&lt;/sup&gt;","plainTextFormattedCitation":"10–12","previouslyFormattedCitation":"&lt;sup&gt;10–12&lt;/sup&gt;"},"properties":{"noteIndex":0},"schema":"https://github.com/citation-style-language/schema/raw/master/csl-citation.json"}</w:instrText>
      </w:r>
      <w:r w:rsidRPr="00E615B2">
        <w:rPr>
          <w:rFonts w:ascii="Calibri" w:eastAsia="DengXian" w:hAnsi="Calibri" w:cs="Calibri"/>
          <w:sz w:val="24"/>
          <w:szCs w:val="24"/>
        </w:rPr>
        <w:fldChar w:fldCharType="separate"/>
      </w:r>
      <w:r w:rsidRPr="00E615B2">
        <w:rPr>
          <w:rFonts w:ascii="Calibri" w:eastAsia="DengXian" w:hAnsi="Calibri" w:cs="Calibri"/>
          <w:noProof/>
          <w:sz w:val="24"/>
          <w:szCs w:val="24"/>
          <w:vertAlign w:val="superscript"/>
        </w:rPr>
        <w:t>10–12</w:t>
      </w:r>
      <w:r w:rsidRPr="00E615B2">
        <w:rPr>
          <w:rFonts w:ascii="Calibri" w:eastAsia="DengXian" w:hAnsi="Calibri" w:cs="Calibri"/>
          <w:sz w:val="24"/>
          <w:szCs w:val="24"/>
        </w:rPr>
        <w:fldChar w:fldCharType="end"/>
      </w:r>
      <w:r w:rsidRPr="00E615B2">
        <w:rPr>
          <w:rFonts w:ascii="Calibri" w:eastAsia="DengXian" w:hAnsi="Calibri" w:cs="Calibri"/>
          <w:sz w:val="24"/>
          <w:szCs w:val="24"/>
        </w:rPr>
        <w:t xml:space="preserve"> Hence, the electrodes’ ESCAs can be arranged in the order Mn &gt; Au </w:t>
      </w:r>
      <w:r w:rsidRPr="00E615B2">
        <w:rPr>
          <w:rFonts w:ascii="Calibri" w:eastAsia="DengXian" w:hAnsi="Calibri" w:cs="Calibri"/>
          <w:color w:val="4D5156"/>
          <w:sz w:val="24"/>
          <w:szCs w:val="24"/>
          <w:shd w:val="clear" w:color="auto" w:fill="FFFFFF"/>
        </w:rPr>
        <w:t>&gt; Ti &gt; Ni.</w:t>
      </w:r>
      <w:r w:rsidRPr="00BA7963">
        <w:rPr>
          <w:rFonts w:ascii="Calibri" w:eastAsia="DengXian" w:hAnsi="Calibri" w:cs="Calibri"/>
          <w:color w:val="4D5156"/>
          <w:sz w:val="24"/>
          <w:szCs w:val="24"/>
          <w:shd w:val="clear" w:color="auto" w:fill="FFFFFF"/>
        </w:rPr>
        <w:t xml:space="preserve"> </w:t>
      </w:r>
    </w:p>
    <w:p w14:paraId="08531E36" w14:textId="5AEC1714" w:rsidR="007744F4" w:rsidRPr="007B26F4" w:rsidRDefault="007744F4" w:rsidP="007744F4">
      <w:pPr>
        <w:spacing w:line="360" w:lineRule="auto"/>
        <w:jc w:val="center"/>
        <w:rPr>
          <w:rFonts w:ascii="Calibri" w:eastAsia="DengXian" w:hAnsi="Calibri" w:cs="Calibri"/>
          <w:color w:val="4D5156"/>
          <w:sz w:val="21"/>
          <w:szCs w:val="21"/>
          <w:shd w:val="clear" w:color="auto" w:fill="FFFFFF"/>
        </w:rPr>
      </w:pPr>
      <w:r w:rsidRPr="007B26F4">
        <w:rPr>
          <w:rFonts w:ascii="Calibri" w:eastAsia="DengXian" w:hAnsi="Calibri" w:cs="Calibri"/>
          <w:b/>
          <w:bCs/>
          <w:noProof/>
        </w:rPr>
        <w:lastRenderedPageBreak/>
        <w:drawing>
          <wp:inline distT="0" distB="0" distL="0" distR="0" wp14:anchorId="2E3E42F1" wp14:editId="259AE7E0">
            <wp:extent cx="3542500" cy="6948000"/>
            <wp:effectExtent l="0" t="0" r="1270" b="5715"/>
            <wp:docPr id="511440810" name="Picture 511440810" descr="A graph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94867" name="Picture 1" descr="A graph of a wave&#10;&#10;Description automatically generated with medium confidence"/>
                    <pic:cNvPicPr/>
                  </pic:nvPicPr>
                  <pic:blipFill>
                    <a:blip r:embed="rId17"/>
                    <a:stretch>
                      <a:fillRect/>
                    </a:stretch>
                  </pic:blipFill>
                  <pic:spPr>
                    <a:xfrm>
                      <a:off x="0" y="0"/>
                      <a:ext cx="3542500" cy="6948000"/>
                    </a:xfrm>
                    <a:prstGeom prst="rect">
                      <a:avLst/>
                    </a:prstGeom>
                  </pic:spPr>
                </pic:pic>
              </a:graphicData>
            </a:graphic>
          </wp:inline>
        </w:drawing>
      </w:r>
    </w:p>
    <w:p w14:paraId="6008621B" w14:textId="372E4EA1" w:rsidR="007744F4" w:rsidRPr="009D7F71" w:rsidRDefault="007744F4" w:rsidP="00504AA0">
      <w:pPr>
        <w:spacing w:after="200" w:line="276" w:lineRule="auto"/>
        <w:jc w:val="both"/>
        <w:rPr>
          <w:rFonts w:ascii="Calibri" w:eastAsia="DengXian" w:hAnsi="Calibri" w:cs="Calibri"/>
          <w:sz w:val="24"/>
          <w:szCs w:val="24"/>
        </w:rPr>
      </w:pPr>
      <w:r w:rsidRPr="009D7F71">
        <w:rPr>
          <w:rFonts w:ascii="Calibri" w:eastAsia="DengXian" w:hAnsi="Calibri" w:cs="Calibri"/>
          <w:b/>
          <w:bCs/>
          <w:sz w:val="24"/>
          <w:szCs w:val="24"/>
        </w:rPr>
        <w:t>Figure S</w:t>
      </w:r>
      <w:r w:rsidRPr="009D7F71">
        <w:rPr>
          <w:rFonts w:ascii="Calibri" w:eastAsia="DengXian" w:hAnsi="Calibri" w:cs="Calibri"/>
          <w:b/>
          <w:bCs/>
          <w:sz w:val="24"/>
          <w:szCs w:val="24"/>
        </w:rPr>
        <w:fldChar w:fldCharType="begin"/>
      </w:r>
      <w:r w:rsidRPr="009D7F71">
        <w:rPr>
          <w:rFonts w:ascii="Calibri" w:eastAsia="DengXian" w:hAnsi="Calibri" w:cs="Calibri"/>
          <w:b/>
          <w:bCs/>
          <w:sz w:val="24"/>
          <w:szCs w:val="24"/>
        </w:rPr>
        <w:instrText xml:space="preserve"> SEQ Figure \* ARABIC </w:instrText>
      </w:r>
      <w:r w:rsidRPr="009D7F71">
        <w:rPr>
          <w:rFonts w:ascii="Calibri" w:eastAsia="DengXian" w:hAnsi="Calibri" w:cs="Calibri"/>
          <w:b/>
          <w:bCs/>
          <w:sz w:val="24"/>
          <w:szCs w:val="24"/>
        </w:rPr>
        <w:fldChar w:fldCharType="separate"/>
      </w:r>
      <w:r w:rsidRPr="009D7F71">
        <w:rPr>
          <w:rFonts w:ascii="Calibri" w:eastAsia="DengXian" w:hAnsi="Calibri" w:cs="Calibri"/>
          <w:b/>
          <w:bCs/>
          <w:noProof/>
          <w:sz w:val="24"/>
          <w:szCs w:val="24"/>
        </w:rPr>
        <w:t>10</w:t>
      </w:r>
      <w:r w:rsidRPr="009D7F71">
        <w:rPr>
          <w:rFonts w:ascii="Calibri" w:eastAsia="DengXian" w:hAnsi="Calibri" w:cs="Calibri"/>
          <w:b/>
          <w:bCs/>
          <w:sz w:val="24"/>
          <w:szCs w:val="24"/>
        </w:rPr>
        <w:fldChar w:fldCharType="end"/>
      </w:r>
      <w:r w:rsidRPr="009D7F71">
        <w:rPr>
          <w:rFonts w:ascii="Calibri" w:eastAsia="DengXian" w:hAnsi="Calibri" w:cs="Calibri"/>
          <w:b/>
          <w:bCs/>
          <w:sz w:val="24"/>
          <w:szCs w:val="24"/>
        </w:rPr>
        <w:t>:</w:t>
      </w:r>
      <w:r w:rsidRPr="009D7F71">
        <w:rPr>
          <w:rFonts w:ascii="Calibri" w:eastAsia="DengXian" w:hAnsi="Calibri" w:cs="Calibri"/>
          <w:sz w:val="18"/>
          <w:szCs w:val="18"/>
        </w:rPr>
        <w:t xml:space="preserve"> </w:t>
      </w:r>
      <w:r w:rsidRPr="009D7F71">
        <w:rPr>
          <w:rFonts w:ascii="Calibri" w:eastAsia="DengXian" w:hAnsi="Calibri" w:cs="Calibri"/>
          <w:sz w:val="24"/>
          <w:szCs w:val="24"/>
        </w:rPr>
        <w:t>Double-layer capacitance measurements for determining the electrochemically active surface area of a titanium electrode (Ti/</w:t>
      </w:r>
      <w:proofErr w:type="spellStart"/>
      <w:r w:rsidRPr="009D7F71">
        <w:rPr>
          <w:rFonts w:ascii="Calibri" w:eastAsia="DengXian" w:hAnsi="Calibri" w:cs="Calibri"/>
          <w:sz w:val="24"/>
          <w:szCs w:val="24"/>
        </w:rPr>
        <w:t>Ti</w:t>
      </w:r>
      <w:r w:rsidRPr="009D7F71">
        <w:rPr>
          <w:rFonts w:ascii="Calibri" w:eastAsia="DengXian" w:hAnsi="Calibri" w:cs="Calibri"/>
          <w:sz w:val="24"/>
          <w:szCs w:val="24"/>
          <w:vertAlign w:val="subscript"/>
        </w:rPr>
        <w:t>x</w:t>
      </w:r>
      <w:r w:rsidRPr="009D7F71">
        <w:rPr>
          <w:rFonts w:ascii="Calibri" w:eastAsia="DengXian" w:hAnsi="Calibri" w:cs="Calibri"/>
          <w:sz w:val="24"/>
          <w:szCs w:val="24"/>
        </w:rPr>
        <w:t>O</w:t>
      </w:r>
      <w:r w:rsidRPr="009D7F71">
        <w:rPr>
          <w:rFonts w:ascii="Calibri" w:eastAsia="DengXian" w:hAnsi="Calibri" w:cs="Calibri"/>
          <w:sz w:val="24"/>
          <w:szCs w:val="24"/>
          <w:vertAlign w:val="subscript"/>
        </w:rPr>
        <w:t>y</w:t>
      </w:r>
      <w:proofErr w:type="spellEnd"/>
      <w:r w:rsidRPr="009D7F71">
        <w:rPr>
          <w:rFonts w:ascii="Calibri" w:eastAsia="DengXian" w:hAnsi="Calibri" w:cs="Calibri"/>
          <w:sz w:val="24"/>
          <w:szCs w:val="24"/>
        </w:rPr>
        <w:t>) in oxalic acid solution and 0.2 M tetraethyl ammonium chloride as supporting electrolyte. (a) Cyclic voltammograms of the non-Faradaic region at different scan rates using platinum foil as a counter electrode and SCE as a reference electrode. (b) The anodic (black cubes) and cathodic (red circles) charging currents measured at −0.23 V vs SCE were plotted against the scan rate. The determined double-layer capacitance of the electrode is taken as the average of the absolute values of the slopes of the linear fits of the data.</w:t>
      </w:r>
    </w:p>
    <w:p w14:paraId="0A7E67AA" w14:textId="3DDE1281" w:rsidR="009D7F71" w:rsidRPr="007C637C" w:rsidRDefault="00127C02" w:rsidP="007C637C">
      <w:pPr>
        <w:rPr>
          <w:rFonts w:eastAsia="DengXian Light"/>
          <w:b/>
          <w:bCs/>
        </w:rPr>
      </w:pPr>
      <w:bookmarkStart w:id="19" w:name="_Toc155907130"/>
      <w:bookmarkStart w:id="20" w:name="_Toc165105692"/>
      <w:r>
        <w:rPr>
          <w:rFonts w:eastAsia="DengXian Light"/>
          <w:b/>
          <w:bCs/>
        </w:rPr>
        <w:br w:type="page"/>
      </w:r>
      <w:r w:rsidR="009D7F71" w:rsidRPr="007C637C">
        <w:rPr>
          <w:rFonts w:eastAsia="DengXian Light"/>
          <w:b/>
          <w:bCs/>
        </w:rPr>
        <w:lastRenderedPageBreak/>
        <w:t>Electrochemical Impedance Spectroscopy (EIS)</w:t>
      </w:r>
      <w:bookmarkEnd w:id="19"/>
      <w:bookmarkEnd w:id="20"/>
    </w:p>
    <w:p w14:paraId="2E5B9CCE" w14:textId="6CE89133" w:rsidR="009D7F71" w:rsidRPr="009D7F71" w:rsidRDefault="009D7F71" w:rsidP="009D7F71">
      <w:pPr>
        <w:spacing w:line="360" w:lineRule="auto"/>
        <w:jc w:val="both"/>
        <w:rPr>
          <w:rFonts w:ascii="Calibri" w:eastAsia="DengXian" w:hAnsi="Calibri" w:cs="Calibri"/>
          <w:sz w:val="24"/>
          <w:szCs w:val="24"/>
        </w:rPr>
      </w:pPr>
      <w:r w:rsidRPr="009D7F71">
        <w:rPr>
          <w:rFonts w:ascii="Calibri" w:eastAsia="DengXian" w:hAnsi="Calibri" w:cs="Calibri"/>
          <w:sz w:val="24"/>
          <w:szCs w:val="24"/>
        </w:rPr>
        <w:t xml:space="preserve">The electrical equivalent circuit model that describes the electrode processes was determined by fitting the experimental impedance data using Gamry </w:t>
      </w:r>
      <w:proofErr w:type="spellStart"/>
      <w:r w:rsidRPr="009D7F71">
        <w:rPr>
          <w:rFonts w:ascii="Calibri" w:eastAsia="DengXian" w:hAnsi="Calibri" w:cs="Calibri"/>
          <w:sz w:val="24"/>
          <w:szCs w:val="24"/>
        </w:rPr>
        <w:t>Echem</w:t>
      </w:r>
      <w:proofErr w:type="spellEnd"/>
      <w:r w:rsidRPr="009D7F71">
        <w:rPr>
          <w:rFonts w:ascii="Calibri" w:eastAsia="DengXian" w:hAnsi="Calibri" w:cs="Calibri"/>
          <w:sz w:val="24"/>
          <w:szCs w:val="24"/>
        </w:rPr>
        <w:t xml:space="preserve"> Analyst software. Various equivalent circuit models were examined to describe the electrode processes at the Ti/</w:t>
      </w:r>
      <w:bookmarkStart w:id="21" w:name="_Hlk151057291"/>
      <w:proofErr w:type="spellStart"/>
      <w:r w:rsidRPr="009D7F71">
        <w:rPr>
          <w:rFonts w:ascii="Calibri" w:eastAsia="DengXian" w:hAnsi="Calibri" w:cs="Calibri"/>
          <w:noProof/>
          <w:sz w:val="24"/>
          <w:szCs w:val="24"/>
        </w:rPr>
        <w:t>Ti</w:t>
      </w:r>
      <w:r w:rsidRPr="009D7F71">
        <w:rPr>
          <w:rFonts w:ascii="Calibri" w:eastAsia="DengXian" w:hAnsi="Calibri" w:cs="Calibri"/>
          <w:noProof/>
          <w:sz w:val="24"/>
          <w:szCs w:val="24"/>
          <w:vertAlign w:val="subscript"/>
        </w:rPr>
        <w:t>x</w:t>
      </w:r>
      <w:r w:rsidRPr="009D7F71">
        <w:rPr>
          <w:rFonts w:ascii="Calibri" w:eastAsia="DengXian" w:hAnsi="Calibri" w:cs="Calibri"/>
          <w:noProof/>
          <w:sz w:val="24"/>
          <w:szCs w:val="24"/>
        </w:rPr>
        <w:t>O</w:t>
      </w:r>
      <w:r w:rsidRPr="009D7F71">
        <w:rPr>
          <w:rFonts w:ascii="Calibri" w:eastAsia="DengXian" w:hAnsi="Calibri" w:cs="Calibri"/>
          <w:noProof/>
          <w:sz w:val="24"/>
          <w:szCs w:val="24"/>
          <w:vertAlign w:val="subscript"/>
        </w:rPr>
        <w:t>y</w:t>
      </w:r>
      <w:proofErr w:type="spellEnd"/>
      <w:r w:rsidRPr="009D7F71" w:rsidDel="00985FF9">
        <w:rPr>
          <w:rFonts w:ascii="Calibri" w:eastAsia="DengXian" w:hAnsi="Calibri" w:cs="Calibri"/>
          <w:sz w:val="24"/>
          <w:szCs w:val="24"/>
        </w:rPr>
        <w:t xml:space="preserve"> </w:t>
      </w:r>
      <w:bookmarkEnd w:id="21"/>
      <w:r w:rsidRPr="009D7F71">
        <w:rPr>
          <w:rFonts w:ascii="Calibri" w:eastAsia="DengXian" w:hAnsi="Calibri" w:cs="Calibri"/>
          <w:sz w:val="24"/>
          <w:szCs w:val="24"/>
        </w:rPr>
        <w:t>/electrolyte junction. The simplest circuit with the smallest chi-square (χ</w:t>
      </w:r>
      <w:r w:rsidRPr="009D7F71">
        <w:rPr>
          <w:rFonts w:ascii="Calibri" w:eastAsia="DengXian" w:hAnsi="Calibri" w:cs="Calibri"/>
          <w:sz w:val="24"/>
          <w:szCs w:val="24"/>
          <w:vertAlign w:val="superscript"/>
        </w:rPr>
        <w:t>2</w:t>
      </w:r>
      <w:r w:rsidRPr="009D7F71">
        <w:rPr>
          <w:rFonts w:ascii="Calibri" w:eastAsia="DengXian" w:hAnsi="Calibri" w:cs="Calibri"/>
          <w:sz w:val="24"/>
          <w:szCs w:val="24"/>
        </w:rPr>
        <w:t>) value was chosen and applied according to the methods developed in the literature.</w:t>
      </w:r>
      <w:r w:rsidRPr="009D7F71">
        <w:rPr>
          <w:rFonts w:ascii="Calibri" w:eastAsia="DengXian" w:hAnsi="Calibri" w:cs="Calibri"/>
          <w:sz w:val="24"/>
          <w:szCs w:val="24"/>
        </w:rPr>
        <w:fldChar w:fldCharType="begin" w:fldLock="1"/>
      </w:r>
      <w:r w:rsidR="00504AA0" w:rsidRPr="007B26F4">
        <w:rPr>
          <w:rFonts w:ascii="Calibri" w:eastAsia="DengXian" w:hAnsi="Calibri" w:cs="Calibri"/>
          <w:sz w:val="24"/>
          <w:szCs w:val="24"/>
        </w:rPr>
        <w:instrText>ADDIN CSL_CITATION {"citationItems":[{"id":"ITEM-1","itemData":{"author":[{"dropping-particle":"","family":"Popescu","given":"S","non-dropping-particle":"","parse-names":false,"suffix":""},{"dropping-particle":"","family":"Ungureanu","given":"C","non-dropping-particle":"","parse-names":false,"suffix":""},{"dropping-particle":"","family":"Albu","given":"AM","non-dropping-particle":"","parse-names":false,"suffix":""},{"dropping-particle":"","family":"Coatings","given":"C Pirvu - Progress in Organic","non-dropping-particle":"","parse-names":false,"suffix":""},{"dropping-particle":"","family":"2014","given":"undefined","non-dropping-particle":"","parse-names":false,"suffix":""}],"container-title":"Elsevier","id":"ITEM-1","issued":{"date-parts":[["0"]]},"title":"Poly (dopamine) assisted deposition of adherent PPy film on Ti substrate","type":"article-journal"},"uris":["http://www.mendeley.com/documents/?uuid=026d7721-9b2a-304a-a86c-0d1f1bd7e8a0"]},{"id":"ITEM-2","itemData":{"DOI":"10.1007/S10800-022-01687-W","ISSN":"15728838","abstract":"Organic corrosion inhibitors have become competent alternatives to hazardous chrome conversion coatings due to their rapid adsorption over metal surfaces in corrosive environments. Literature suggests a wide range of organic corrosion inhibitors with high inhibition efficiency, barrier properties, and adsorption mechanisms. However, the long-term durability and protectiveness of an organic inhibitor film need to be understood with in-depth insights on its interaction with heterogenous alloy surfaces like AA6xxx, reduction of galvanic activities and time-resolved degradation due to ionic diffusion. The present article is focused on the time-resolved adsorption and degradation of 2-mercaptobenzimidazole (2-MBI)-induced inhibitor layer/film over AA6061 in 0.1 M NaCl solution. Electrochemical and surface analysis data indicate that the presence of 2-MBI drives the rapid formation of a 20–30 nm thick protective film comprised of constitutional elements of C, S, and N from 2-MBI upon the surface of AA6061 substrate. This film mitigated the corrosion cells associated with nano- and micro-sized Fe and Si-rich intermetallic particles (IMPs) in AA6061. XPS reveals two distinguished bonding states of S and N in the inhibitor film and chemical interactions between 2-MBI and the surface of AA6061. The protective film maintained 65% inhibiting efficiency after 1 day, which progressively degraded due to electrolyte ingress and eventually with a drop in inhibition efficiency down to 21% after 14 days. Inhibitor-induced film over AA6061 reduced the corrosion susceptibility of Fe, and Si-rich IMPs up to 1 day given the subsequent adsorption by S and N heteroatoms. However, this film became thick and defective after 1 day, which undermined its barrier properties against ingress of aggressive ions and facilitated water adsorption. Graphical abstract: [Figure not available: see fulltext.]","author":[{"dropping-particle":"","family":"Jakeria","given":"Mohd Rafiuddin","non-dropping-particle":"","parse-names":false,"suffix":""},{"dropping-particle":"","family":"Toh","given":"Rou Jun","non-dropping-particle":"","parse-names":false,"suffix":""},{"dropping-particle":"","family":"Chen","given":"Xiao Bo","non-dropping-particle":"","parse-names":false,"suffix":""},{"dropping-particle":"","family":"Cole","given":"Ivan S.","non-dropping-particle":"","parse-names":false,"suffix":""}],"container-title":"Journal of Applied Electrochemistry","id":"ITEM-2","issue":"6","issued":{"date-parts":[["2022","6","1"]]},"page":"1021-1044","publisher":"Springer Science and Business Media B.V.","title":"Evolution and stability of 2-mercaptobenzimidazole inhibitor film upon Al alloy 6061","type":"article-journal","volume":"52"},"uris":["http://www.mendeley.com/documents/?uuid=0694c7fe-91ff-3b42-a85a-52c45e3bbdd6"]},{"id":"ITEM-3","itemData":{"author":[{"dropping-particle":"","family":"Faqeeh","given":"AH","non-dropping-particle":"","parse-names":false,"suffix":""},{"dropping-particle":"","family":"Acta","given":"MD Symes - Electrochimica","non-dropping-particle":"","parse-names":false,"suffix":""},{"dropping-particle":"","family":"2023","given":"undefined","non-dropping-particle":"","parse-names":false,"suffix":""}],"container-title":"Elsevier","id":"ITEM-3","issued":{"date-parts":[["0"]]},"title":"A standard electrolyzer test cell design for evaluating catalysts and cell components for anion exchange membrane water electrolysis","type":"article-journal"},"uris":["http://www.mendeley.com/documents/?uuid=a2e0809b-4595-37bc-a209-c1437cda5679"]},{"id":"ITEM-4","itemData":{"author":[{"dropping-particle":"","family":"Ghadirzadeh","given":"Mehran","non-dropping-particle":"","parse-names":false,"suffix":""},{"dropping-particle":"","family":"Jafarzadeh","given":"Kourosh","non-dropping-particle":"","parse-names":false,"suffix":""},{"dropping-particle":"","family":"Mazhari","given":"Hadiseh","non-dropping-particle":"","parse-names":false,"suffix":""}],"id":"ITEM-4","issue":"August 2023","issued":{"date-parts":[["2024"]]},"title":"A comparative study on the role of nanotubes and micropores of titanium oxide interlayer on the electrochemical properties of the mixed metal oxide coating","type":"article-journal","volume":"314"},"uris":["http://www.mendeley.com/documents/?uuid=4d179fea-14e8-40d5-839c-62349407fd5f"]}],"mendeley":{"formattedCitation":"&lt;sup&gt;13–16&lt;/sup&gt;","plainTextFormattedCitation":"13–16","previouslyFormattedCitation":"&lt;sup&gt;13–16&lt;/sup&gt;"},"properties":{"noteIndex":0},"schema":"https://github.com/citation-style-language/schema/raw/master/csl-citation.json"}</w:instrText>
      </w:r>
      <w:r w:rsidRPr="009D7F71">
        <w:rPr>
          <w:rFonts w:ascii="Calibri" w:eastAsia="DengXian" w:hAnsi="Calibri" w:cs="Calibri"/>
          <w:sz w:val="24"/>
          <w:szCs w:val="24"/>
        </w:rPr>
        <w:fldChar w:fldCharType="separate"/>
      </w:r>
      <w:r w:rsidRPr="009D7F71">
        <w:rPr>
          <w:rFonts w:ascii="Calibri" w:eastAsia="DengXian" w:hAnsi="Calibri" w:cs="Calibri"/>
          <w:noProof/>
          <w:sz w:val="24"/>
          <w:szCs w:val="24"/>
          <w:vertAlign w:val="superscript"/>
        </w:rPr>
        <w:t>13–16</w:t>
      </w:r>
      <w:r w:rsidRPr="009D7F71">
        <w:rPr>
          <w:rFonts w:ascii="Calibri" w:eastAsia="DengXian" w:hAnsi="Calibri" w:cs="Calibri"/>
          <w:sz w:val="24"/>
          <w:szCs w:val="24"/>
        </w:rPr>
        <w:fldChar w:fldCharType="end"/>
      </w:r>
      <w:r w:rsidRPr="009D7F71">
        <w:rPr>
          <w:rFonts w:ascii="Calibri" w:eastAsia="DengXian" w:hAnsi="Calibri" w:cs="Calibri"/>
          <w:sz w:val="24"/>
          <w:szCs w:val="24"/>
        </w:rPr>
        <w:t xml:space="preserve"> The electrical parameters of the proposed equivalent circuits obtained after fitting the results of the EIS tests for the titanium electrodes are presented in Table S4. In the equivalent circuit model, R</w:t>
      </w:r>
      <w:r w:rsidRPr="009D7F71">
        <w:rPr>
          <w:rFonts w:ascii="Calibri" w:eastAsia="DengXian" w:hAnsi="Calibri" w:cs="Calibri"/>
          <w:sz w:val="24"/>
          <w:szCs w:val="24"/>
          <w:vertAlign w:val="subscript"/>
        </w:rPr>
        <w:t xml:space="preserve">s </w:t>
      </w:r>
      <w:r w:rsidRPr="009D7F71">
        <w:rPr>
          <w:rFonts w:ascii="Calibri" w:eastAsia="DengXian" w:hAnsi="Calibri" w:cs="Calibri"/>
          <w:sz w:val="24"/>
          <w:szCs w:val="24"/>
        </w:rPr>
        <w:t>refers to the solution resistance, while R</w:t>
      </w:r>
      <w:r w:rsidRPr="009D7F71">
        <w:rPr>
          <w:rFonts w:ascii="Calibri" w:eastAsia="DengXian" w:hAnsi="Calibri" w:cs="Calibri"/>
          <w:sz w:val="24"/>
          <w:szCs w:val="24"/>
          <w:vertAlign w:val="subscript"/>
        </w:rPr>
        <w:t>1</w:t>
      </w:r>
      <w:r w:rsidRPr="009D7F71">
        <w:rPr>
          <w:rFonts w:ascii="Calibri" w:eastAsia="DengXian" w:hAnsi="Calibri" w:cs="Calibri"/>
          <w:sz w:val="24"/>
          <w:szCs w:val="24"/>
        </w:rPr>
        <w:t xml:space="preserve"> and R</w:t>
      </w:r>
      <w:r w:rsidRPr="009D7F71">
        <w:rPr>
          <w:rFonts w:ascii="Calibri" w:eastAsia="DengXian" w:hAnsi="Calibri" w:cs="Calibri"/>
          <w:sz w:val="24"/>
          <w:szCs w:val="24"/>
          <w:vertAlign w:val="subscript"/>
        </w:rPr>
        <w:t>2</w:t>
      </w:r>
      <w:r w:rsidRPr="009D7F71">
        <w:rPr>
          <w:rFonts w:ascii="Calibri" w:eastAsia="DengXian" w:hAnsi="Calibri" w:cs="Calibri"/>
          <w:sz w:val="24"/>
          <w:szCs w:val="24"/>
        </w:rPr>
        <w:t xml:space="preserve"> represent charge transfer resistance.  CPE</w:t>
      </w:r>
      <w:r w:rsidRPr="009D7F71">
        <w:rPr>
          <w:rFonts w:ascii="Calibri" w:eastAsia="DengXian" w:hAnsi="Calibri" w:cs="Calibri"/>
          <w:sz w:val="24"/>
          <w:szCs w:val="24"/>
          <w:vertAlign w:val="subscript"/>
        </w:rPr>
        <w:t>1</w:t>
      </w:r>
      <w:r w:rsidRPr="009D7F71">
        <w:rPr>
          <w:rFonts w:ascii="Calibri" w:eastAsia="DengXian" w:hAnsi="Calibri" w:cs="Calibri"/>
          <w:sz w:val="24"/>
          <w:szCs w:val="24"/>
        </w:rPr>
        <w:t xml:space="preserve"> and CPE</w:t>
      </w:r>
      <w:r w:rsidRPr="009D7F71">
        <w:rPr>
          <w:rFonts w:ascii="Calibri" w:eastAsia="DengXian" w:hAnsi="Calibri" w:cs="Calibri"/>
          <w:sz w:val="24"/>
          <w:szCs w:val="24"/>
          <w:vertAlign w:val="subscript"/>
        </w:rPr>
        <w:t>2,</w:t>
      </w:r>
      <w:r w:rsidRPr="009D7F71">
        <w:rPr>
          <w:rFonts w:ascii="Calibri" w:eastAsia="DengXian" w:hAnsi="Calibri" w:cs="Calibri"/>
          <w:sz w:val="24"/>
          <w:szCs w:val="24"/>
        </w:rPr>
        <w:t xml:space="preserve"> representing the constant phase elements, are commonly used to describe nonhomogeneous surfaces.</w:t>
      </w:r>
      <w:r w:rsidRPr="009D7F71">
        <w:rPr>
          <w:rFonts w:ascii="Calibri" w:eastAsia="DengXian" w:hAnsi="Calibri" w:cs="Calibri"/>
          <w:sz w:val="24"/>
          <w:szCs w:val="24"/>
        </w:rPr>
        <w:fldChar w:fldCharType="begin" w:fldLock="1"/>
      </w:r>
      <w:r w:rsidR="00504AA0" w:rsidRPr="007B26F4">
        <w:rPr>
          <w:rFonts w:ascii="Calibri" w:eastAsia="DengXian" w:hAnsi="Calibri" w:cs="Calibri"/>
          <w:sz w:val="24"/>
          <w:szCs w:val="24"/>
        </w:rPr>
        <w:instrText>ADDIN CSL_CITATION {"citationItems":[{"id":"ITEM-1","itemData":{"DOI":"10.1016/j.electacta.2017.03.011","ISSN":"00134686","abstract":"Thanks to its excellent corrosion resistance, good mechanical properties and biocompatibility, titanium has been widely used as dental implant material. A passive oxide film formed on titanium surface is responsible for its high corrosion resistance. This study has evaluated the surface characteristics of oxide layers formed on commercially pure titanium samples by anodic treatment and the effect of anodic treatment on their corrosion behaviour. FEG-SEM and XRD were used to evaluate the micromorphology and crystalline structure of these oxide films. Their corrosion resistance was evaluated using electrochemical impedance spectroscopy (EIS) and potentiodynamic polarization curves. EIS was performed for different times of immersion and a new equivalent electrical circuit (EEC) is proposed to fit the experimental data of the anodic oxide films. It was concluded that the morphology, composition, and structure of the outer porous layer of the anodic layer determine the corrosion protection of the material.","author":[{"dropping-particle":"","family":"Alves","given":"A. C.","non-dropping-particle":"","parse-names":false,"suffix":""},{"dropping-particle":"","family":"Wenger","given":"F.","non-dropping-particle":"","parse-names":false,"suffix":""},{"dropping-particle":"","family":"Ponthiaux","given":"P.","non-dropping-particle":"","parse-names":false,"suffix":""},{"dropping-particle":"","family":"Celis","given":"J. P.","non-dropping-particle":"","parse-names":false,"suffix":""},{"dropping-particle":"","family":"Pinto","given":"A. M.","non-dropping-particle":"","parse-names":false,"suffix":""},{"dropping-particle":"","family":"Rocha","given":"L. A.","non-dropping-particle":"","parse-names":false,"suffix":""},{"dropping-particle":"","family":"Fernandes","given":"J. C.S.","non-dropping-particle":"","parse-names":false,"suffix":""}],"container-title":"Electrochimica Acta","id":"ITEM-1","issued":{"date-parts":[["2017"]]},"page":"16-27","publisher":"Elsevier Ltd","title":"Corrosion mechanisms in titanium oxide-based films produced by anodic treatment","type":"article-journal","volume":"234"},"uris":["http://www.mendeley.com/documents/?uuid=78e902dc-a076-45c4-81cb-c91918c5e5dd"]}],"mendeley":{"formattedCitation":"&lt;sup&gt;17&lt;/sup&gt;","plainTextFormattedCitation":"17","previouslyFormattedCitation":"&lt;sup&gt;17&lt;/sup&gt;"},"properties":{"noteIndex":0},"schema":"https://github.com/citation-style-language/schema/raw/master/csl-citation.json"}</w:instrText>
      </w:r>
      <w:r w:rsidRPr="009D7F71">
        <w:rPr>
          <w:rFonts w:ascii="Calibri" w:eastAsia="DengXian" w:hAnsi="Calibri" w:cs="Calibri"/>
          <w:sz w:val="24"/>
          <w:szCs w:val="24"/>
        </w:rPr>
        <w:fldChar w:fldCharType="separate"/>
      </w:r>
      <w:r w:rsidRPr="009D7F71">
        <w:rPr>
          <w:rFonts w:ascii="Calibri" w:eastAsia="DengXian" w:hAnsi="Calibri" w:cs="Calibri"/>
          <w:noProof/>
          <w:sz w:val="24"/>
          <w:szCs w:val="24"/>
          <w:vertAlign w:val="superscript"/>
        </w:rPr>
        <w:t>17</w:t>
      </w:r>
      <w:r w:rsidRPr="009D7F71">
        <w:rPr>
          <w:rFonts w:ascii="Calibri" w:eastAsia="DengXian" w:hAnsi="Calibri" w:cs="Calibri"/>
          <w:sz w:val="24"/>
          <w:szCs w:val="24"/>
        </w:rPr>
        <w:fldChar w:fldCharType="end"/>
      </w:r>
      <w:r w:rsidRPr="009D7F71">
        <w:rPr>
          <w:rFonts w:ascii="Calibri" w:eastAsia="DengXian" w:hAnsi="Calibri" w:cs="Calibri"/>
          <w:sz w:val="24"/>
          <w:szCs w:val="24"/>
        </w:rPr>
        <w:t xml:space="preserve"> In addition to this, the total resistance of the layer (</w:t>
      </w:r>
      <w:proofErr w:type="spellStart"/>
      <w:r w:rsidRPr="009D7F71">
        <w:rPr>
          <w:rFonts w:ascii="Calibri" w:eastAsia="DengXian" w:hAnsi="Calibri" w:cs="Calibri"/>
          <w:sz w:val="24"/>
          <w:szCs w:val="24"/>
        </w:rPr>
        <w:t>R</w:t>
      </w:r>
      <w:r w:rsidRPr="009D7F71">
        <w:rPr>
          <w:rFonts w:ascii="Calibri" w:eastAsia="DengXian" w:hAnsi="Calibri" w:cs="Calibri"/>
          <w:sz w:val="24"/>
          <w:szCs w:val="24"/>
          <w:vertAlign w:val="subscript"/>
        </w:rPr>
        <w:t>total</w:t>
      </w:r>
      <w:proofErr w:type="spellEnd"/>
      <w:r w:rsidRPr="009D7F71">
        <w:rPr>
          <w:rFonts w:ascii="Calibri" w:eastAsia="DengXian" w:hAnsi="Calibri" w:cs="Calibri"/>
          <w:sz w:val="24"/>
          <w:szCs w:val="24"/>
        </w:rPr>
        <w:t xml:space="preserve">), representing the sum of all resistance values, is also calculated (Table S4). The </w:t>
      </w:r>
      <w:proofErr w:type="spellStart"/>
      <w:r w:rsidRPr="009D7F71">
        <w:rPr>
          <w:rFonts w:ascii="Calibri" w:eastAsia="DengXian" w:hAnsi="Calibri" w:cs="Calibri"/>
          <w:sz w:val="24"/>
          <w:szCs w:val="24"/>
        </w:rPr>
        <w:t>R</w:t>
      </w:r>
      <w:r w:rsidRPr="009D7F71">
        <w:rPr>
          <w:rFonts w:ascii="Calibri" w:eastAsia="DengXian" w:hAnsi="Calibri" w:cs="Calibri"/>
          <w:sz w:val="24"/>
          <w:szCs w:val="24"/>
          <w:vertAlign w:val="subscript"/>
        </w:rPr>
        <w:t>total</w:t>
      </w:r>
      <w:proofErr w:type="spellEnd"/>
      <w:r w:rsidRPr="009D7F71">
        <w:rPr>
          <w:rFonts w:ascii="Calibri" w:eastAsia="DengXian" w:hAnsi="Calibri" w:cs="Calibri"/>
          <w:sz w:val="24"/>
          <w:szCs w:val="24"/>
          <w:vertAlign w:val="subscript"/>
        </w:rPr>
        <w:t xml:space="preserve"> </w:t>
      </w:r>
      <w:r w:rsidRPr="009D7F71">
        <w:rPr>
          <w:rFonts w:ascii="Calibri" w:eastAsia="DengXian" w:hAnsi="Calibri" w:cs="Calibri"/>
          <w:sz w:val="24"/>
          <w:szCs w:val="24"/>
        </w:rPr>
        <w:t xml:space="preserve">value for the titanium electrode prior to electrolysis is 88.32 </w:t>
      </w:r>
      <w:r w:rsidRPr="009D7F71">
        <w:rPr>
          <w:rFonts w:ascii="Calibri" w:eastAsia="DengXian" w:hAnsi="Calibri" w:cs="Calibri"/>
          <w:color w:val="040C28"/>
          <w:sz w:val="24"/>
          <w:szCs w:val="24"/>
        </w:rPr>
        <w:t>Ω</w:t>
      </w:r>
      <w:r w:rsidRPr="009D7F71">
        <w:rPr>
          <w:rFonts w:ascii="Calibri" w:eastAsia="DengXian" w:hAnsi="Calibri" w:cs="Calibri"/>
          <w:sz w:val="24"/>
          <w:szCs w:val="24"/>
        </w:rPr>
        <w:t xml:space="preserve">, whereas it decreases to 59.21 </w:t>
      </w:r>
      <w:r w:rsidRPr="009D7F71">
        <w:rPr>
          <w:rFonts w:ascii="Calibri" w:eastAsia="DengXian" w:hAnsi="Calibri" w:cs="Calibri"/>
          <w:color w:val="040C28"/>
          <w:sz w:val="24"/>
          <w:szCs w:val="24"/>
        </w:rPr>
        <w:t>Ω</w:t>
      </w:r>
      <w:r w:rsidRPr="009D7F71">
        <w:rPr>
          <w:rFonts w:ascii="Calibri" w:eastAsia="DengXian" w:hAnsi="Calibri" w:cs="Calibri"/>
          <w:sz w:val="24"/>
          <w:szCs w:val="24"/>
        </w:rPr>
        <w:t xml:space="preserve"> after electrolysis. This decrease is consistent with an increase in the electroactive area when a potential is applied, leading to improved electron transfer through the conductive layers.  The observed reduction in </w:t>
      </w:r>
      <w:proofErr w:type="spellStart"/>
      <w:r w:rsidRPr="009D7F71">
        <w:rPr>
          <w:rFonts w:ascii="Calibri" w:eastAsia="DengXian" w:hAnsi="Calibri" w:cs="Calibri"/>
          <w:sz w:val="24"/>
          <w:szCs w:val="24"/>
        </w:rPr>
        <w:t>R</w:t>
      </w:r>
      <w:r w:rsidRPr="009D7F71">
        <w:rPr>
          <w:rFonts w:ascii="Calibri" w:eastAsia="DengXian" w:hAnsi="Calibri" w:cs="Calibri"/>
          <w:sz w:val="24"/>
          <w:szCs w:val="24"/>
          <w:vertAlign w:val="subscript"/>
        </w:rPr>
        <w:t>total</w:t>
      </w:r>
      <w:proofErr w:type="spellEnd"/>
      <w:r w:rsidRPr="009D7F71">
        <w:rPr>
          <w:rFonts w:ascii="Calibri" w:eastAsia="DengXian" w:hAnsi="Calibri" w:cs="Calibri"/>
          <w:sz w:val="24"/>
          <w:szCs w:val="24"/>
        </w:rPr>
        <w:t xml:space="preserve"> is consistent with a decrease in the thickness of the titanium oxide layer after electrolysis. The alterations in film thicknesses and total resistances suggest notable changes in the composition and morphology of the electrode surfaces. </w:t>
      </w:r>
    </w:p>
    <w:p w14:paraId="0B9B5F95" w14:textId="77777777" w:rsidR="009D7F71" w:rsidRPr="009D7F71" w:rsidRDefault="009D7F71" w:rsidP="009D7F71">
      <w:pPr>
        <w:keepNext/>
        <w:jc w:val="center"/>
        <w:rPr>
          <w:rFonts w:ascii="Calibri" w:eastAsia="DengXian" w:hAnsi="Calibri" w:cs="Calibri"/>
        </w:rPr>
      </w:pPr>
      <w:r w:rsidRPr="009D7F71">
        <w:rPr>
          <w:rFonts w:ascii="Calibri" w:eastAsia="DengXian" w:hAnsi="Calibri" w:cs="Calibri"/>
          <w:noProof/>
        </w:rPr>
        <w:drawing>
          <wp:inline distT="0" distB="0" distL="0" distR="0" wp14:anchorId="5F893124" wp14:editId="2D2F0D31">
            <wp:extent cx="2654925" cy="2160000"/>
            <wp:effectExtent l="0" t="0" r="0" b="0"/>
            <wp:docPr id="313814189" name="Picture 1" descr="A graph of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14189" name="Picture 1" descr="A graph of a curve"/>
                    <pic:cNvPicPr/>
                  </pic:nvPicPr>
                  <pic:blipFill>
                    <a:blip r:embed="rId18"/>
                    <a:stretch>
                      <a:fillRect/>
                    </a:stretch>
                  </pic:blipFill>
                  <pic:spPr>
                    <a:xfrm>
                      <a:off x="0" y="0"/>
                      <a:ext cx="2654925" cy="2160000"/>
                    </a:xfrm>
                    <a:prstGeom prst="rect">
                      <a:avLst/>
                    </a:prstGeom>
                  </pic:spPr>
                </pic:pic>
              </a:graphicData>
            </a:graphic>
          </wp:inline>
        </w:drawing>
      </w:r>
    </w:p>
    <w:p w14:paraId="62AE9B50" w14:textId="77777777" w:rsidR="009D7F71" w:rsidRDefault="009D7F71" w:rsidP="009D7F71">
      <w:pPr>
        <w:spacing w:after="200" w:line="276" w:lineRule="auto"/>
        <w:jc w:val="both"/>
        <w:rPr>
          <w:rFonts w:ascii="Calibri" w:eastAsia="DengXian" w:hAnsi="Calibri" w:cs="Calibri"/>
          <w:sz w:val="24"/>
          <w:szCs w:val="24"/>
        </w:rPr>
      </w:pPr>
      <w:r w:rsidRPr="009D7F71">
        <w:rPr>
          <w:rFonts w:ascii="Calibri" w:eastAsia="DengXian" w:hAnsi="Calibri" w:cs="Calibri"/>
          <w:b/>
          <w:sz w:val="24"/>
          <w:szCs w:val="24"/>
        </w:rPr>
        <w:t>Figure S</w:t>
      </w:r>
      <w:r w:rsidRPr="009D7F71">
        <w:rPr>
          <w:rFonts w:ascii="Calibri" w:eastAsia="DengXian" w:hAnsi="Calibri" w:cs="Calibri"/>
          <w:b/>
          <w:bCs/>
          <w:sz w:val="24"/>
          <w:szCs w:val="24"/>
        </w:rPr>
        <w:fldChar w:fldCharType="begin"/>
      </w:r>
      <w:r w:rsidRPr="009D7F71">
        <w:rPr>
          <w:rFonts w:ascii="Calibri" w:eastAsia="DengXian" w:hAnsi="Calibri" w:cs="Calibri"/>
          <w:b/>
          <w:sz w:val="24"/>
          <w:szCs w:val="24"/>
        </w:rPr>
        <w:instrText xml:space="preserve"> SEQ Figure \* ARABIC </w:instrText>
      </w:r>
      <w:r w:rsidRPr="009D7F71">
        <w:rPr>
          <w:rFonts w:ascii="Calibri" w:eastAsia="DengXian" w:hAnsi="Calibri" w:cs="Calibri"/>
          <w:b/>
          <w:bCs/>
          <w:sz w:val="24"/>
          <w:szCs w:val="24"/>
        </w:rPr>
        <w:fldChar w:fldCharType="separate"/>
      </w:r>
      <w:r w:rsidRPr="009D7F71">
        <w:rPr>
          <w:rFonts w:ascii="Calibri" w:eastAsia="DengXian" w:hAnsi="Calibri" w:cs="Calibri"/>
          <w:b/>
          <w:noProof/>
          <w:sz w:val="24"/>
          <w:szCs w:val="24"/>
        </w:rPr>
        <w:t>11</w:t>
      </w:r>
      <w:r w:rsidRPr="009D7F71">
        <w:rPr>
          <w:rFonts w:ascii="Calibri" w:eastAsia="DengXian" w:hAnsi="Calibri" w:cs="Calibri"/>
          <w:b/>
          <w:bCs/>
          <w:sz w:val="24"/>
          <w:szCs w:val="24"/>
        </w:rPr>
        <w:fldChar w:fldCharType="end"/>
      </w:r>
      <w:r w:rsidRPr="009D7F71">
        <w:rPr>
          <w:rFonts w:ascii="Calibri" w:eastAsia="DengXian" w:hAnsi="Calibri" w:cs="Calibri"/>
          <w:b/>
          <w:sz w:val="24"/>
          <w:szCs w:val="24"/>
        </w:rPr>
        <w:t>:</w:t>
      </w:r>
      <w:r w:rsidRPr="009D7F71">
        <w:rPr>
          <w:rFonts w:ascii="Calibri" w:eastAsia="DengXian" w:hAnsi="Calibri" w:cs="Calibri"/>
          <w:sz w:val="24"/>
          <w:szCs w:val="24"/>
        </w:rPr>
        <w:t xml:space="preserve"> Nyquist plots obtained at −0.6 V vs RHE on a titanium electrode in 0.03 M oxalic acid solution (a) before electrolysis and (b) after electrolysis for 2 hours at 25 °C. Cycle points represent the experimental data, and continuous curves represent the model fitting. </w:t>
      </w:r>
    </w:p>
    <w:p w14:paraId="2C75AAF1" w14:textId="77777777" w:rsidR="007744F4" w:rsidRPr="007744F4" w:rsidRDefault="007744F4" w:rsidP="007744F4">
      <w:pPr>
        <w:keepNext/>
        <w:spacing w:after="200" w:line="240" w:lineRule="auto"/>
        <w:jc w:val="center"/>
        <w:rPr>
          <w:rFonts w:ascii="Calibri" w:eastAsia="DengXian" w:hAnsi="Calibri" w:cs="Calibri"/>
          <w:i/>
          <w:iCs/>
          <w:color w:val="44546A"/>
          <w:sz w:val="18"/>
          <w:szCs w:val="18"/>
        </w:rPr>
      </w:pPr>
      <w:r w:rsidRPr="007744F4">
        <w:rPr>
          <w:rFonts w:ascii="Calibri" w:eastAsia="DengXian" w:hAnsi="Calibri" w:cs="Calibri"/>
          <w:i/>
          <w:iCs/>
          <w:noProof/>
          <w:color w:val="44546A"/>
          <w:sz w:val="18"/>
          <w:szCs w:val="18"/>
        </w:rPr>
        <w:lastRenderedPageBreak/>
        <w:drawing>
          <wp:inline distT="0" distB="0" distL="0" distR="0" wp14:anchorId="5B3ADC9B" wp14:editId="7C2E0A09">
            <wp:extent cx="5409785" cy="2124000"/>
            <wp:effectExtent l="0" t="0" r="635" b="0"/>
            <wp:docPr id="1766757273" name="Picture 1" descr="A diagram of a charge trans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57273" name="Picture 1" descr="A diagram of a charge transf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9785" cy="2124000"/>
                    </a:xfrm>
                    <a:prstGeom prst="rect">
                      <a:avLst/>
                    </a:prstGeom>
                    <a:noFill/>
                    <a:ln>
                      <a:noFill/>
                    </a:ln>
                  </pic:spPr>
                </pic:pic>
              </a:graphicData>
            </a:graphic>
          </wp:inline>
        </w:drawing>
      </w:r>
    </w:p>
    <w:p w14:paraId="392BAA8E" w14:textId="77777777" w:rsidR="007744F4" w:rsidRDefault="007744F4" w:rsidP="007744F4">
      <w:pPr>
        <w:jc w:val="both"/>
        <w:rPr>
          <w:rFonts w:ascii="Calibri" w:eastAsia="DengXian" w:hAnsi="Calibri" w:cs="Calibri"/>
          <w:noProof/>
          <w:sz w:val="24"/>
          <w:szCs w:val="24"/>
        </w:rPr>
      </w:pPr>
      <w:r w:rsidRPr="007744F4">
        <w:rPr>
          <w:rFonts w:ascii="Calibri" w:eastAsia="DengXian" w:hAnsi="Calibri" w:cs="Calibri"/>
          <w:b/>
          <w:bCs/>
          <w:sz w:val="24"/>
          <w:szCs w:val="24"/>
        </w:rPr>
        <w:t>Figure S</w:t>
      </w:r>
      <w:r w:rsidRPr="007744F4">
        <w:rPr>
          <w:rFonts w:ascii="Calibri" w:eastAsia="DengXian" w:hAnsi="Calibri" w:cs="Calibri"/>
          <w:b/>
          <w:bCs/>
          <w:sz w:val="24"/>
          <w:szCs w:val="24"/>
        </w:rPr>
        <w:fldChar w:fldCharType="begin"/>
      </w:r>
      <w:r w:rsidRPr="007744F4">
        <w:rPr>
          <w:rFonts w:ascii="Calibri" w:eastAsia="DengXian" w:hAnsi="Calibri" w:cs="Calibri"/>
          <w:b/>
          <w:bCs/>
          <w:sz w:val="24"/>
          <w:szCs w:val="24"/>
        </w:rPr>
        <w:instrText xml:space="preserve"> SEQ Figure \* ARABIC </w:instrText>
      </w:r>
      <w:r w:rsidRPr="007744F4">
        <w:rPr>
          <w:rFonts w:ascii="Calibri" w:eastAsia="DengXian" w:hAnsi="Calibri" w:cs="Calibri"/>
          <w:b/>
          <w:bCs/>
          <w:sz w:val="24"/>
          <w:szCs w:val="24"/>
        </w:rPr>
        <w:fldChar w:fldCharType="separate"/>
      </w:r>
      <w:r w:rsidRPr="007744F4">
        <w:rPr>
          <w:rFonts w:ascii="Calibri" w:eastAsia="DengXian" w:hAnsi="Calibri" w:cs="Calibri"/>
          <w:b/>
          <w:bCs/>
          <w:noProof/>
          <w:sz w:val="24"/>
          <w:szCs w:val="24"/>
        </w:rPr>
        <w:t>12</w:t>
      </w:r>
      <w:r w:rsidRPr="007744F4">
        <w:rPr>
          <w:rFonts w:ascii="Calibri" w:eastAsia="DengXian" w:hAnsi="Calibri" w:cs="Calibri"/>
          <w:b/>
          <w:bCs/>
          <w:sz w:val="24"/>
          <w:szCs w:val="24"/>
        </w:rPr>
        <w:fldChar w:fldCharType="end"/>
      </w:r>
      <w:r w:rsidRPr="007744F4">
        <w:rPr>
          <w:rFonts w:ascii="Calibri" w:eastAsia="DengXian" w:hAnsi="Calibri" w:cs="Calibri"/>
          <w:b/>
          <w:bCs/>
          <w:sz w:val="24"/>
          <w:szCs w:val="24"/>
        </w:rPr>
        <w:t xml:space="preserve">: </w:t>
      </w:r>
      <w:r w:rsidRPr="007744F4">
        <w:rPr>
          <w:rFonts w:ascii="Calibri" w:eastAsia="DengXian" w:hAnsi="Calibri" w:cs="Calibri"/>
          <w:noProof/>
          <w:sz w:val="24"/>
          <w:szCs w:val="24"/>
        </w:rPr>
        <w:t>Electrical equivalent circuit model of a titanium electrode.</w:t>
      </w:r>
    </w:p>
    <w:p w14:paraId="50110427" w14:textId="77777777" w:rsidR="007C637C" w:rsidRDefault="007C637C" w:rsidP="007C637C"/>
    <w:p w14:paraId="78D5BA91" w14:textId="1A43A52E" w:rsidR="007744F4" w:rsidRPr="007744F4" w:rsidRDefault="007744F4" w:rsidP="007744F4">
      <w:pPr>
        <w:keepNext/>
        <w:spacing w:after="0" w:line="276" w:lineRule="auto"/>
        <w:rPr>
          <w:rFonts w:ascii="Calibri" w:eastAsia="DengXian" w:hAnsi="Calibri" w:cs="Calibri"/>
          <w:sz w:val="24"/>
          <w:szCs w:val="24"/>
        </w:rPr>
      </w:pPr>
      <w:r w:rsidRPr="007744F4">
        <w:rPr>
          <w:rFonts w:ascii="Calibri" w:eastAsia="DengXian" w:hAnsi="Calibri" w:cs="Calibri"/>
          <w:b/>
          <w:bCs/>
          <w:sz w:val="24"/>
          <w:szCs w:val="24"/>
        </w:rPr>
        <w:t>Table S</w:t>
      </w:r>
      <w:r w:rsidRPr="007744F4">
        <w:rPr>
          <w:rFonts w:ascii="Calibri" w:eastAsia="DengXian" w:hAnsi="Calibri" w:cs="Calibri"/>
          <w:b/>
          <w:bCs/>
          <w:sz w:val="24"/>
          <w:szCs w:val="24"/>
        </w:rPr>
        <w:fldChar w:fldCharType="begin"/>
      </w:r>
      <w:r w:rsidRPr="007744F4">
        <w:rPr>
          <w:rFonts w:ascii="Calibri" w:eastAsia="DengXian" w:hAnsi="Calibri" w:cs="Calibri"/>
          <w:b/>
          <w:bCs/>
          <w:sz w:val="24"/>
          <w:szCs w:val="24"/>
        </w:rPr>
        <w:instrText xml:space="preserve"> SEQ Table \* ARABIC </w:instrText>
      </w:r>
      <w:r w:rsidRPr="007744F4">
        <w:rPr>
          <w:rFonts w:ascii="Calibri" w:eastAsia="DengXian" w:hAnsi="Calibri" w:cs="Calibri"/>
          <w:b/>
          <w:bCs/>
          <w:sz w:val="24"/>
          <w:szCs w:val="24"/>
        </w:rPr>
        <w:fldChar w:fldCharType="separate"/>
      </w:r>
      <w:r w:rsidRPr="007B26F4">
        <w:rPr>
          <w:rFonts w:ascii="Calibri" w:eastAsia="DengXian" w:hAnsi="Calibri" w:cs="Calibri"/>
          <w:b/>
          <w:bCs/>
          <w:noProof/>
          <w:sz w:val="24"/>
          <w:szCs w:val="24"/>
        </w:rPr>
        <w:t>4</w:t>
      </w:r>
      <w:r w:rsidRPr="007744F4">
        <w:rPr>
          <w:rFonts w:ascii="Calibri" w:eastAsia="DengXian" w:hAnsi="Calibri" w:cs="Calibri"/>
          <w:b/>
          <w:bCs/>
          <w:sz w:val="24"/>
          <w:szCs w:val="24"/>
        </w:rPr>
        <w:fldChar w:fldCharType="end"/>
      </w:r>
      <w:r w:rsidRPr="007744F4">
        <w:rPr>
          <w:rFonts w:ascii="Calibri" w:eastAsia="DengXian" w:hAnsi="Calibri" w:cs="Calibri"/>
          <w:sz w:val="24"/>
          <w:szCs w:val="24"/>
        </w:rPr>
        <w:t>: Electrical parameters of the proposed equivalent circuits obtained after fitting the results of EIS tests for titanium electrodes.</w:t>
      </w:r>
    </w:p>
    <w:tbl>
      <w:tblPr>
        <w:tblStyle w:val="TableGrid2"/>
        <w:tblW w:w="11175" w:type="dxa"/>
        <w:jc w:val="center"/>
        <w:tblBorders>
          <w:top w:val="single" w:sz="12" w:space="0" w:color="auto"/>
          <w:left w:val="none" w:sz="0" w:space="0" w:color="auto"/>
          <w:bottom w:val="single" w:sz="12" w:space="0" w:color="auto"/>
          <w:right w:val="none" w:sz="0" w:space="0" w:color="auto"/>
          <w:insideH w:val="single" w:sz="2" w:space="0" w:color="auto"/>
          <w:insideV w:val="none" w:sz="0" w:space="0" w:color="auto"/>
        </w:tblBorders>
        <w:tblLook w:val="04A0" w:firstRow="1" w:lastRow="0" w:firstColumn="1" w:lastColumn="0" w:noHBand="0" w:noVBand="1"/>
      </w:tblPr>
      <w:tblGrid>
        <w:gridCol w:w="1686"/>
        <w:gridCol w:w="764"/>
        <w:gridCol w:w="1211"/>
        <w:gridCol w:w="723"/>
        <w:gridCol w:w="707"/>
        <w:gridCol w:w="1301"/>
        <w:gridCol w:w="1222"/>
        <w:gridCol w:w="705"/>
        <w:gridCol w:w="1428"/>
        <w:gridCol w:w="1428"/>
      </w:tblGrid>
      <w:tr w:rsidR="007744F4" w:rsidRPr="007744F4" w14:paraId="6C192805" w14:textId="77777777" w:rsidTr="0067430A">
        <w:trPr>
          <w:trHeight w:val="656"/>
          <w:jc w:val="center"/>
        </w:trPr>
        <w:tc>
          <w:tcPr>
            <w:tcW w:w="1686" w:type="dxa"/>
            <w:shd w:val="clear" w:color="auto" w:fill="EEECE1"/>
          </w:tcPr>
          <w:p w14:paraId="3A633DAB"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sz w:val="24"/>
                <w:szCs w:val="24"/>
              </w:rPr>
              <w:t>Electrodes</w:t>
            </w:r>
          </w:p>
        </w:tc>
        <w:tc>
          <w:tcPr>
            <w:tcW w:w="764" w:type="dxa"/>
            <w:shd w:val="clear" w:color="auto" w:fill="EEECE1"/>
          </w:tcPr>
          <w:p w14:paraId="0C419FAB"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sz w:val="24"/>
                <w:szCs w:val="24"/>
              </w:rPr>
              <w:t>R</w:t>
            </w:r>
            <w:r w:rsidRPr="007744F4">
              <w:rPr>
                <w:rFonts w:ascii="Calibri" w:eastAsia="DengXian" w:hAnsi="Calibri" w:cs="Calibri"/>
                <w:b/>
                <w:bCs/>
                <w:sz w:val="24"/>
                <w:szCs w:val="24"/>
                <w:vertAlign w:val="subscript"/>
              </w:rPr>
              <w:t>s</w:t>
            </w:r>
            <w:r w:rsidRPr="007744F4">
              <w:rPr>
                <w:rFonts w:ascii="Calibri" w:eastAsia="DengXian" w:hAnsi="Calibri" w:cs="Calibri"/>
                <w:b/>
                <w:bCs/>
                <w:sz w:val="24"/>
                <w:szCs w:val="24"/>
              </w:rPr>
              <w:t>/</w:t>
            </w:r>
          </w:p>
          <w:p w14:paraId="4C970EBB"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color w:val="040C28"/>
                <w:sz w:val="24"/>
                <w:szCs w:val="24"/>
              </w:rPr>
              <w:t>Ω</w:t>
            </w:r>
          </w:p>
        </w:tc>
        <w:tc>
          <w:tcPr>
            <w:tcW w:w="1211" w:type="dxa"/>
            <w:shd w:val="clear" w:color="auto" w:fill="EEECE1"/>
          </w:tcPr>
          <w:p w14:paraId="5A1CEAD5"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sz w:val="24"/>
                <w:szCs w:val="24"/>
              </w:rPr>
              <w:t>R</w:t>
            </w:r>
            <w:r w:rsidRPr="007744F4">
              <w:rPr>
                <w:rFonts w:ascii="Calibri" w:eastAsia="DengXian" w:hAnsi="Calibri" w:cs="Calibri"/>
                <w:b/>
                <w:bCs/>
                <w:sz w:val="24"/>
                <w:szCs w:val="24"/>
                <w:vertAlign w:val="subscript"/>
              </w:rPr>
              <w:t>1</w:t>
            </w:r>
            <w:r w:rsidRPr="007744F4">
              <w:rPr>
                <w:rFonts w:ascii="Calibri" w:eastAsia="DengXian" w:hAnsi="Calibri" w:cs="Calibri"/>
                <w:b/>
                <w:bCs/>
                <w:sz w:val="24"/>
                <w:szCs w:val="24"/>
              </w:rPr>
              <w:t>/</w:t>
            </w:r>
          </w:p>
          <w:p w14:paraId="2269D17C"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color w:val="040C28"/>
                <w:sz w:val="24"/>
                <w:szCs w:val="24"/>
              </w:rPr>
              <w:t>Ω</w:t>
            </w:r>
          </w:p>
        </w:tc>
        <w:tc>
          <w:tcPr>
            <w:tcW w:w="1430" w:type="dxa"/>
            <w:gridSpan w:val="2"/>
            <w:shd w:val="clear" w:color="auto" w:fill="EEECE1"/>
          </w:tcPr>
          <w:p w14:paraId="50964F4C" w14:textId="77777777" w:rsidR="007744F4" w:rsidRPr="007744F4" w:rsidRDefault="007744F4" w:rsidP="007744F4">
            <w:pPr>
              <w:pBdr>
                <w:bottom w:val="single" w:sz="4" w:space="1" w:color="auto"/>
              </w:pBdr>
              <w:rPr>
                <w:rFonts w:ascii="Calibri" w:eastAsia="DengXian" w:hAnsi="Calibri" w:cs="Calibri"/>
                <w:b/>
                <w:bCs/>
                <w:sz w:val="24"/>
                <w:szCs w:val="24"/>
              </w:rPr>
            </w:pPr>
            <w:r w:rsidRPr="007744F4">
              <w:rPr>
                <w:rFonts w:ascii="Calibri" w:eastAsia="DengXian" w:hAnsi="Calibri" w:cs="Calibri"/>
                <w:b/>
                <w:bCs/>
                <w:sz w:val="24"/>
                <w:szCs w:val="24"/>
              </w:rPr>
              <w:t>CPE</w:t>
            </w:r>
            <w:r w:rsidRPr="007744F4">
              <w:rPr>
                <w:rFonts w:ascii="Calibri" w:eastAsia="DengXian" w:hAnsi="Calibri" w:cs="Calibri"/>
                <w:b/>
                <w:bCs/>
                <w:sz w:val="24"/>
                <w:szCs w:val="24"/>
                <w:vertAlign w:val="subscript"/>
              </w:rPr>
              <w:t xml:space="preserve">1 </w:t>
            </w:r>
            <w:r w:rsidRPr="007744F4">
              <w:rPr>
                <w:rFonts w:ascii="Calibri" w:eastAsia="DengXian" w:hAnsi="Calibri" w:cs="Calibri"/>
                <w:b/>
                <w:bCs/>
                <w:sz w:val="24"/>
                <w:szCs w:val="24"/>
              </w:rPr>
              <w:t xml:space="preserve">      </w:t>
            </w:r>
            <w:r w:rsidRPr="007744F4">
              <w:rPr>
                <w:rFonts w:ascii="Calibri" w:eastAsia="DengXian" w:hAnsi="Calibri" w:cs="Calibri"/>
                <w:b/>
                <w:bCs/>
                <w:shd w:val="clear" w:color="auto" w:fill="EEECE1"/>
              </w:rPr>
              <w:t>n</w:t>
            </w:r>
            <w:r w:rsidRPr="007744F4">
              <w:rPr>
                <w:rFonts w:ascii="Calibri" w:eastAsia="DengXian" w:hAnsi="Calibri" w:cs="Calibri"/>
                <w:b/>
                <w:bCs/>
                <w:shd w:val="clear" w:color="auto" w:fill="EEECE1"/>
                <w:vertAlign w:val="subscript"/>
              </w:rPr>
              <w:t>1</w:t>
            </w:r>
            <w:r w:rsidRPr="007744F4">
              <w:rPr>
                <w:rFonts w:ascii="Calibri" w:eastAsia="DengXian" w:hAnsi="Calibri" w:cs="Calibri"/>
                <w:b/>
                <w:bCs/>
                <w:shd w:val="clear" w:color="auto" w:fill="FFFFFF"/>
                <w:vertAlign w:val="subscript"/>
              </w:rPr>
              <w:t xml:space="preserve"> </w:t>
            </w:r>
            <w:r w:rsidRPr="007744F4">
              <w:rPr>
                <w:rFonts w:ascii="Calibri" w:eastAsia="DengXian" w:hAnsi="Calibri" w:cs="Calibri"/>
                <w:b/>
                <w:bCs/>
                <w:shd w:val="clear" w:color="auto" w:fill="FFFFFF"/>
              </w:rPr>
              <w:t xml:space="preserve"> </w:t>
            </w:r>
          </w:p>
          <w:p w14:paraId="316CFADD" w14:textId="77777777" w:rsidR="007744F4" w:rsidRPr="007744F4" w:rsidRDefault="007744F4" w:rsidP="007744F4">
            <w:pPr>
              <w:rPr>
                <w:rFonts w:ascii="Calibri" w:eastAsia="DengXian" w:hAnsi="Calibri" w:cs="Calibri"/>
                <w:b/>
                <w:bCs/>
              </w:rPr>
            </w:pPr>
            <w:bookmarkStart w:id="22" w:name="_Toc155907131"/>
            <w:bookmarkStart w:id="23" w:name="_Toc155907233"/>
            <w:r w:rsidRPr="007744F4">
              <w:rPr>
                <w:rFonts w:ascii="Calibri" w:eastAsia="DengXian" w:hAnsi="Calibri" w:cs="Calibri"/>
                <w:b/>
                <w:bCs/>
                <w:shd w:val="clear" w:color="auto" w:fill="EEECE1"/>
              </w:rPr>
              <w:t>mF</w:t>
            </w:r>
            <w:bookmarkEnd w:id="22"/>
            <w:bookmarkEnd w:id="23"/>
          </w:p>
        </w:tc>
        <w:tc>
          <w:tcPr>
            <w:tcW w:w="1301" w:type="dxa"/>
            <w:shd w:val="clear" w:color="auto" w:fill="EEECE1"/>
          </w:tcPr>
          <w:p w14:paraId="3CE0CB79"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sz w:val="24"/>
                <w:szCs w:val="24"/>
              </w:rPr>
              <w:t>R</w:t>
            </w:r>
            <w:r w:rsidRPr="007744F4">
              <w:rPr>
                <w:rFonts w:ascii="Calibri" w:eastAsia="DengXian" w:hAnsi="Calibri" w:cs="Calibri"/>
                <w:b/>
                <w:bCs/>
                <w:sz w:val="24"/>
                <w:szCs w:val="24"/>
                <w:vertAlign w:val="subscript"/>
              </w:rPr>
              <w:t>2</w:t>
            </w:r>
            <w:r w:rsidRPr="007744F4">
              <w:rPr>
                <w:rFonts w:ascii="Calibri" w:eastAsia="DengXian" w:hAnsi="Calibri" w:cs="Calibri"/>
                <w:b/>
                <w:bCs/>
                <w:sz w:val="24"/>
                <w:szCs w:val="24"/>
              </w:rPr>
              <w:t>/</w:t>
            </w:r>
          </w:p>
          <w:p w14:paraId="16EABCF9"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sz w:val="24"/>
                <w:szCs w:val="24"/>
              </w:rPr>
              <w:t>Ω</w:t>
            </w:r>
          </w:p>
        </w:tc>
        <w:tc>
          <w:tcPr>
            <w:tcW w:w="1927" w:type="dxa"/>
            <w:gridSpan w:val="2"/>
            <w:shd w:val="clear" w:color="auto" w:fill="EEECE1"/>
          </w:tcPr>
          <w:p w14:paraId="46605208" w14:textId="77777777" w:rsidR="007744F4" w:rsidRPr="007744F4" w:rsidRDefault="007744F4" w:rsidP="007744F4">
            <w:pPr>
              <w:pBdr>
                <w:bottom w:val="single" w:sz="4" w:space="1" w:color="auto"/>
              </w:pBdr>
              <w:rPr>
                <w:rFonts w:ascii="Calibri" w:eastAsia="DengXian" w:hAnsi="Calibri" w:cs="Calibri"/>
                <w:b/>
                <w:bCs/>
                <w:sz w:val="24"/>
                <w:szCs w:val="24"/>
              </w:rPr>
            </w:pPr>
            <w:r w:rsidRPr="007744F4">
              <w:rPr>
                <w:rFonts w:ascii="Calibri" w:eastAsia="DengXian" w:hAnsi="Calibri" w:cs="Calibri"/>
                <w:b/>
                <w:bCs/>
                <w:sz w:val="24"/>
                <w:szCs w:val="24"/>
              </w:rPr>
              <w:t>CPE</w:t>
            </w:r>
            <w:r w:rsidRPr="007744F4">
              <w:rPr>
                <w:rFonts w:ascii="Calibri" w:eastAsia="DengXian" w:hAnsi="Calibri" w:cs="Calibri"/>
                <w:b/>
                <w:bCs/>
                <w:sz w:val="24"/>
                <w:szCs w:val="24"/>
                <w:vertAlign w:val="subscript"/>
              </w:rPr>
              <w:t xml:space="preserve">2  </w:t>
            </w:r>
            <w:r w:rsidRPr="007744F4">
              <w:rPr>
                <w:rFonts w:ascii="Calibri" w:eastAsia="DengXian" w:hAnsi="Calibri" w:cs="Calibri"/>
                <w:b/>
                <w:bCs/>
                <w:sz w:val="24"/>
                <w:szCs w:val="24"/>
              </w:rPr>
              <w:t xml:space="preserve">             n</w:t>
            </w:r>
            <w:r w:rsidRPr="007744F4">
              <w:rPr>
                <w:rFonts w:ascii="Calibri" w:eastAsia="DengXian" w:hAnsi="Calibri" w:cs="Calibri"/>
                <w:b/>
                <w:bCs/>
                <w:sz w:val="24"/>
                <w:szCs w:val="24"/>
                <w:vertAlign w:val="subscript"/>
              </w:rPr>
              <w:t>2</w:t>
            </w:r>
          </w:p>
          <w:p w14:paraId="7837D1DF" w14:textId="77777777" w:rsidR="007744F4" w:rsidRPr="007744F4" w:rsidRDefault="007744F4" w:rsidP="007744F4">
            <w:pPr>
              <w:rPr>
                <w:rFonts w:ascii="Calibri" w:eastAsia="DengXian" w:hAnsi="Calibri" w:cs="Calibri"/>
                <w:b/>
                <w:bCs/>
                <w:sz w:val="24"/>
                <w:szCs w:val="24"/>
              </w:rPr>
            </w:pPr>
            <w:r w:rsidRPr="007744F4">
              <w:rPr>
                <w:rFonts w:ascii="Calibri" w:eastAsia="DengXian" w:hAnsi="Calibri" w:cs="Calibri"/>
                <w:b/>
                <w:bCs/>
                <w:shd w:val="clear" w:color="auto" w:fill="EEECE1"/>
              </w:rPr>
              <w:t>mF</w:t>
            </w:r>
            <w:r w:rsidRPr="007744F4">
              <w:rPr>
                <w:rFonts w:ascii="Calibri" w:eastAsia="DengXian" w:hAnsi="Calibri" w:cs="Calibri"/>
                <w:b/>
                <w:bCs/>
                <w:shd w:val="clear" w:color="auto" w:fill="FFFFFF"/>
              </w:rPr>
              <w:t xml:space="preserve">                </w:t>
            </w:r>
          </w:p>
        </w:tc>
        <w:tc>
          <w:tcPr>
            <w:tcW w:w="1428" w:type="dxa"/>
            <w:shd w:val="clear" w:color="auto" w:fill="EEECE1"/>
          </w:tcPr>
          <w:p w14:paraId="107B5778" w14:textId="77777777" w:rsidR="007744F4" w:rsidRPr="007744F4" w:rsidRDefault="007744F4" w:rsidP="007744F4">
            <w:pPr>
              <w:jc w:val="center"/>
              <w:rPr>
                <w:rFonts w:ascii="Calibri" w:eastAsia="DengXian" w:hAnsi="Calibri" w:cs="Calibri"/>
                <w:b/>
                <w:bCs/>
                <w:sz w:val="24"/>
                <w:szCs w:val="24"/>
              </w:rPr>
            </w:pPr>
            <w:proofErr w:type="spellStart"/>
            <w:r w:rsidRPr="007744F4">
              <w:rPr>
                <w:rFonts w:ascii="Calibri" w:eastAsia="DengXian" w:hAnsi="Calibri" w:cs="Calibri"/>
                <w:b/>
                <w:bCs/>
                <w:sz w:val="24"/>
                <w:szCs w:val="24"/>
              </w:rPr>
              <w:t>R</w:t>
            </w:r>
            <w:r w:rsidRPr="007744F4">
              <w:rPr>
                <w:rFonts w:ascii="Calibri" w:eastAsia="DengXian" w:hAnsi="Calibri" w:cs="Calibri"/>
                <w:b/>
                <w:bCs/>
                <w:sz w:val="24"/>
                <w:szCs w:val="24"/>
                <w:vertAlign w:val="subscript"/>
              </w:rPr>
              <w:t>total</w:t>
            </w:r>
            <w:proofErr w:type="spellEnd"/>
          </w:p>
        </w:tc>
        <w:tc>
          <w:tcPr>
            <w:tcW w:w="1428" w:type="dxa"/>
            <w:shd w:val="clear" w:color="auto" w:fill="EEECE1"/>
          </w:tcPr>
          <w:p w14:paraId="66D74905" w14:textId="77777777" w:rsidR="007744F4" w:rsidRPr="007744F4" w:rsidRDefault="007744F4" w:rsidP="007744F4">
            <w:pPr>
              <w:jc w:val="center"/>
              <w:rPr>
                <w:rFonts w:ascii="Calibri" w:eastAsia="DengXian" w:hAnsi="Calibri" w:cs="Calibri"/>
                <w:b/>
                <w:bCs/>
                <w:sz w:val="24"/>
                <w:szCs w:val="24"/>
              </w:rPr>
            </w:pPr>
            <w:r w:rsidRPr="007744F4">
              <w:rPr>
                <w:rFonts w:ascii="Calibri" w:eastAsia="DengXian" w:hAnsi="Calibri" w:cs="Calibri"/>
                <w:b/>
                <w:bCs/>
                <w:sz w:val="24"/>
                <w:szCs w:val="24"/>
              </w:rPr>
              <w:t xml:space="preserve">Chi-squared </w:t>
            </w:r>
            <w:r w:rsidRPr="007744F4">
              <w:rPr>
                <w:rFonts w:ascii="Calibri" w:eastAsia="DengXian" w:hAnsi="Calibri" w:cs="Calibri"/>
                <w:b/>
                <w:bCs/>
                <w:i/>
                <w:iCs/>
                <w:sz w:val="24"/>
                <w:szCs w:val="24"/>
              </w:rPr>
              <w:t>χ</w:t>
            </w:r>
            <w:r w:rsidRPr="007744F4">
              <w:rPr>
                <w:rFonts w:ascii="Calibri" w:eastAsia="DengXian" w:hAnsi="Calibri" w:cs="Calibri"/>
                <w:b/>
                <w:bCs/>
                <w:i/>
                <w:iCs/>
                <w:sz w:val="24"/>
                <w:szCs w:val="24"/>
                <w:vertAlign w:val="superscript"/>
              </w:rPr>
              <w:t>2</w:t>
            </w:r>
          </w:p>
        </w:tc>
      </w:tr>
      <w:tr w:rsidR="007744F4" w:rsidRPr="007744F4" w14:paraId="77E9B1B5" w14:textId="77777777" w:rsidTr="0067430A">
        <w:trPr>
          <w:jc w:val="center"/>
        </w:trPr>
        <w:tc>
          <w:tcPr>
            <w:tcW w:w="1686" w:type="dxa"/>
          </w:tcPr>
          <w:p w14:paraId="1C21348A" w14:textId="77777777" w:rsidR="007744F4" w:rsidRPr="007744F4" w:rsidRDefault="007744F4" w:rsidP="007744F4">
            <w:pPr>
              <w:jc w:val="center"/>
              <w:rPr>
                <w:rFonts w:ascii="Calibri" w:eastAsia="DengXian" w:hAnsi="Calibri" w:cs="Calibri"/>
                <w:sz w:val="24"/>
                <w:szCs w:val="24"/>
                <w:lang w:val="pt-BR"/>
              </w:rPr>
            </w:pPr>
            <w:r w:rsidRPr="007744F4">
              <w:rPr>
                <w:rFonts w:ascii="Calibri" w:eastAsia="DengXian" w:hAnsi="Calibri" w:cs="Calibri"/>
                <w:sz w:val="24"/>
                <w:szCs w:val="24"/>
                <w:lang w:val="pt-BR"/>
              </w:rPr>
              <w:t>Before</w:t>
            </w:r>
          </w:p>
        </w:tc>
        <w:tc>
          <w:tcPr>
            <w:tcW w:w="764" w:type="dxa"/>
          </w:tcPr>
          <w:p w14:paraId="40E95B30" w14:textId="77777777" w:rsidR="007744F4" w:rsidRPr="007744F4" w:rsidRDefault="007744F4" w:rsidP="007744F4">
            <w:pPr>
              <w:jc w:val="both"/>
              <w:rPr>
                <w:rFonts w:ascii="Calibri" w:eastAsia="DengXian" w:hAnsi="Calibri" w:cs="Calibri"/>
                <w:sz w:val="24"/>
                <w:szCs w:val="24"/>
                <w:lang w:val="pt-BR"/>
              </w:rPr>
            </w:pPr>
            <w:r w:rsidRPr="007744F4">
              <w:rPr>
                <w:rFonts w:ascii="Calibri" w:eastAsia="DengXian" w:hAnsi="Calibri" w:cs="Calibri"/>
                <w:sz w:val="24"/>
                <w:szCs w:val="24"/>
                <w:lang w:val="pt-BR"/>
              </w:rPr>
              <w:t>10.52</w:t>
            </w:r>
          </w:p>
        </w:tc>
        <w:tc>
          <w:tcPr>
            <w:tcW w:w="1211" w:type="dxa"/>
          </w:tcPr>
          <w:p w14:paraId="535C1E19"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12.9</w:t>
            </w:r>
          </w:p>
          <w:p w14:paraId="0FFB80DF" w14:textId="77777777" w:rsidR="007744F4" w:rsidRPr="007744F4" w:rsidRDefault="007744F4" w:rsidP="007744F4">
            <w:pPr>
              <w:jc w:val="center"/>
              <w:rPr>
                <w:rFonts w:ascii="Calibri" w:eastAsia="DengXian" w:hAnsi="Calibri" w:cs="Calibri"/>
                <w:sz w:val="24"/>
                <w:szCs w:val="24"/>
                <w:lang w:val="pt-BR"/>
              </w:rPr>
            </w:pPr>
          </w:p>
        </w:tc>
        <w:tc>
          <w:tcPr>
            <w:tcW w:w="723" w:type="dxa"/>
          </w:tcPr>
          <w:p w14:paraId="3E8BB20B"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6.05</w:t>
            </w:r>
          </w:p>
          <w:p w14:paraId="103A3155" w14:textId="77777777" w:rsidR="007744F4" w:rsidRPr="007744F4" w:rsidRDefault="007744F4" w:rsidP="007744F4">
            <w:pPr>
              <w:jc w:val="center"/>
              <w:rPr>
                <w:rFonts w:ascii="Calibri" w:eastAsia="DengXian" w:hAnsi="Calibri" w:cs="Calibri"/>
                <w:sz w:val="24"/>
                <w:szCs w:val="24"/>
                <w:lang w:val="pt-BR"/>
              </w:rPr>
            </w:pPr>
          </w:p>
        </w:tc>
        <w:tc>
          <w:tcPr>
            <w:tcW w:w="707" w:type="dxa"/>
          </w:tcPr>
          <w:p w14:paraId="23833B7C" w14:textId="77777777" w:rsidR="007744F4" w:rsidRPr="007744F4" w:rsidRDefault="007744F4" w:rsidP="007744F4">
            <w:pPr>
              <w:jc w:val="center"/>
              <w:rPr>
                <w:rFonts w:ascii="Calibri" w:eastAsia="DengXian" w:hAnsi="Calibri" w:cs="Calibri"/>
                <w:sz w:val="24"/>
                <w:szCs w:val="24"/>
                <w:lang w:val="pt-BR"/>
              </w:rPr>
            </w:pPr>
            <w:r w:rsidRPr="007744F4">
              <w:rPr>
                <w:rFonts w:ascii="Calibri" w:eastAsia="DengXian" w:hAnsi="Calibri" w:cs="Calibri"/>
                <w:sz w:val="24"/>
                <w:szCs w:val="24"/>
                <w:lang w:val="pt-BR"/>
              </w:rPr>
              <w:t>0.60</w:t>
            </w:r>
          </w:p>
        </w:tc>
        <w:tc>
          <w:tcPr>
            <w:tcW w:w="1301" w:type="dxa"/>
          </w:tcPr>
          <w:p w14:paraId="7C8DC0F6"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64.9</w:t>
            </w:r>
          </w:p>
          <w:p w14:paraId="6530910E" w14:textId="77777777" w:rsidR="007744F4" w:rsidRPr="007744F4" w:rsidRDefault="007744F4" w:rsidP="007744F4">
            <w:pPr>
              <w:jc w:val="center"/>
              <w:rPr>
                <w:rFonts w:ascii="Calibri" w:eastAsia="DengXian" w:hAnsi="Calibri" w:cs="Calibri"/>
                <w:sz w:val="24"/>
                <w:szCs w:val="24"/>
                <w:lang w:val="pt-BR"/>
              </w:rPr>
            </w:pPr>
          </w:p>
        </w:tc>
        <w:tc>
          <w:tcPr>
            <w:tcW w:w="1222" w:type="dxa"/>
          </w:tcPr>
          <w:p w14:paraId="1339B150"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7.51</w:t>
            </w:r>
          </w:p>
          <w:p w14:paraId="2753FAC5" w14:textId="77777777" w:rsidR="007744F4" w:rsidRPr="007744F4" w:rsidRDefault="007744F4" w:rsidP="007744F4">
            <w:pPr>
              <w:rPr>
                <w:rFonts w:ascii="Calibri" w:eastAsia="DengXian" w:hAnsi="Calibri" w:cs="Calibri"/>
                <w:sz w:val="24"/>
                <w:szCs w:val="24"/>
                <w:lang w:val="pt-BR"/>
              </w:rPr>
            </w:pPr>
          </w:p>
        </w:tc>
        <w:tc>
          <w:tcPr>
            <w:tcW w:w="705" w:type="dxa"/>
          </w:tcPr>
          <w:p w14:paraId="5BC80D97" w14:textId="77777777" w:rsidR="007744F4" w:rsidRPr="007744F4" w:rsidRDefault="007744F4" w:rsidP="007744F4">
            <w:pPr>
              <w:jc w:val="both"/>
              <w:rPr>
                <w:rFonts w:ascii="Calibri" w:eastAsia="DengXian" w:hAnsi="Calibri" w:cs="Calibri"/>
                <w:sz w:val="24"/>
                <w:szCs w:val="24"/>
                <w:lang w:val="pt-BR"/>
              </w:rPr>
            </w:pPr>
            <w:r w:rsidRPr="007744F4">
              <w:rPr>
                <w:rFonts w:ascii="Calibri" w:eastAsia="DengXian" w:hAnsi="Calibri" w:cs="Calibri"/>
                <w:sz w:val="24"/>
                <w:szCs w:val="24"/>
                <w:lang w:val="pt-BR"/>
              </w:rPr>
              <w:t>0.86</w:t>
            </w:r>
          </w:p>
        </w:tc>
        <w:tc>
          <w:tcPr>
            <w:tcW w:w="1428" w:type="dxa"/>
          </w:tcPr>
          <w:p w14:paraId="24BE3246" w14:textId="77777777" w:rsidR="007744F4" w:rsidRPr="007744F4" w:rsidRDefault="007744F4" w:rsidP="007744F4">
            <w:pPr>
              <w:jc w:val="both"/>
              <w:rPr>
                <w:rFonts w:ascii="Calibri" w:eastAsia="DengXian" w:hAnsi="Calibri" w:cs="Calibri"/>
                <w:color w:val="000000"/>
              </w:rPr>
            </w:pPr>
            <w:r w:rsidRPr="007744F4">
              <w:rPr>
                <w:rFonts w:ascii="Calibri" w:eastAsia="DengXian" w:hAnsi="Calibri" w:cs="Calibri"/>
                <w:color w:val="000000"/>
              </w:rPr>
              <w:t xml:space="preserve">        88.32</w:t>
            </w:r>
          </w:p>
        </w:tc>
        <w:tc>
          <w:tcPr>
            <w:tcW w:w="1428" w:type="dxa"/>
          </w:tcPr>
          <w:p w14:paraId="2F9B67CB" w14:textId="77777777" w:rsidR="007744F4" w:rsidRPr="007744F4" w:rsidRDefault="007744F4" w:rsidP="007744F4">
            <w:pPr>
              <w:jc w:val="both"/>
              <w:rPr>
                <w:rFonts w:ascii="Calibri" w:eastAsia="DengXian" w:hAnsi="Calibri" w:cs="Calibri"/>
                <w:color w:val="000000"/>
              </w:rPr>
            </w:pPr>
            <w:r w:rsidRPr="007744F4">
              <w:rPr>
                <w:rFonts w:ascii="Calibri" w:eastAsia="DengXian" w:hAnsi="Calibri" w:cs="Calibri"/>
                <w:color w:val="000000"/>
              </w:rPr>
              <w:t xml:space="preserve">2.22 </w:t>
            </w:r>
            <w:r w:rsidRPr="007744F4">
              <w:rPr>
                <w:rFonts w:ascii="Calibri" w:eastAsia="DengXian" w:hAnsi="Calibri" w:cs="Calibri"/>
                <w:sz w:val="24"/>
                <w:szCs w:val="24"/>
                <w:lang w:val="pt-BR"/>
              </w:rPr>
              <w:t>x 10</w:t>
            </w:r>
            <w:r w:rsidRPr="007744F4">
              <w:rPr>
                <w:rFonts w:ascii="Calibri" w:eastAsia="DengXian" w:hAnsi="Calibri" w:cs="Calibri"/>
                <w:sz w:val="24"/>
                <w:szCs w:val="24"/>
                <w:vertAlign w:val="superscript"/>
                <w:lang w:val="pt-BR"/>
              </w:rPr>
              <w:t>−4</w:t>
            </w:r>
          </w:p>
        </w:tc>
      </w:tr>
      <w:tr w:rsidR="007744F4" w:rsidRPr="007744F4" w14:paraId="34C58AC9" w14:textId="77777777" w:rsidTr="0067430A">
        <w:trPr>
          <w:jc w:val="center"/>
        </w:trPr>
        <w:tc>
          <w:tcPr>
            <w:tcW w:w="1686" w:type="dxa"/>
          </w:tcPr>
          <w:p w14:paraId="5B535A39" w14:textId="77777777" w:rsidR="007744F4" w:rsidRPr="007744F4" w:rsidRDefault="007744F4" w:rsidP="007744F4">
            <w:pPr>
              <w:jc w:val="center"/>
              <w:rPr>
                <w:rFonts w:ascii="Calibri" w:eastAsia="DengXian" w:hAnsi="Calibri" w:cs="Calibri"/>
                <w:sz w:val="24"/>
                <w:szCs w:val="24"/>
                <w:lang w:val="pt-BR"/>
              </w:rPr>
            </w:pPr>
            <w:r w:rsidRPr="007744F4">
              <w:rPr>
                <w:rFonts w:ascii="Calibri" w:eastAsia="DengXian" w:hAnsi="Calibri" w:cs="Calibri"/>
                <w:sz w:val="24"/>
                <w:szCs w:val="24"/>
                <w:lang w:val="pt-BR"/>
              </w:rPr>
              <w:t>After</w:t>
            </w:r>
          </w:p>
        </w:tc>
        <w:tc>
          <w:tcPr>
            <w:tcW w:w="764" w:type="dxa"/>
          </w:tcPr>
          <w:p w14:paraId="27B92515" w14:textId="77777777" w:rsidR="007744F4" w:rsidRPr="007744F4" w:rsidRDefault="007744F4" w:rsidP="007744F4">
            <w:pPr>
              <w:jc w:val="both"/>
              <w:rPr>
                <w:rFonts w:ascii="Calibri" w:eastAsia="DengXian" w:hAnsi="Calibri" w:cs="Calibri"/>
                <w:sz w:val="24"/>
                <w:szCs w:val="24"/>
                <w:lang w:val="pt-BR"/>
              </w:rPr>
            </w:pPr>
            <w:r w:rsidRPr="007744F4">
              <w:rPr>
                <w:rFonts w:ascii="Calibri" w:eastAsia="DengXian" w:hAnsi="Calibri" w:cs="Calibri"/>
                <w:color w:val="000000"/>
              </w:rPr>
              <w:t>10.29</w:t>
            </w:r>
          </w:p>
        </w:tc>
        <w:tc>
          <w:tcPr>
            <w:tcW w:w="1211" w:type="dxa"/>
          </w:tcPr>
          <w:p w14:paraId="04D07172"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13.01</w:t>
            </w:r>
          </w:p>
          <w:p w14:paraId="4B9CDB95" w14:textId="77777777" w:rsidR="007744F4" w:rsidRPr="007744F4" w:rsidRDefault="007744F4" w:rsidP="007744F4">
            <w:pPr>
              <w:jc w:val="center"/>
              <w:rPr>
                <w:rFonts w:ascii="Calibri" w:eastAsia="DengXian" w:hAnsi="Calibri" w:cs="Calibri"/>
                <w:sz w:val="24"/>
                <w:szCs w:val="24"/>
                <w:lang w:val="pt-BR"/>
              </w:rPr>
            </w:pPr>
          </w:p>
        </w:tc>
        <w:tc>
          <w:tcPr>
            <w:tcW w:w="723" w:type="dxa"/>
          </w:tcPr>
          <w:p w14:paraId="5BA0D3AB"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8.98</w:t>
            </w:r>
          </w:p>
          <w:p w14:paraId="43E54094" w14:textId="77777777" w:rsidR="007744F4" w:rsidRPr="007744F4" w:rsidRDefault="007744F4" w:rsidP="007744F4">
            <w:pPr>
              <w:jc w:val="center"/>
              <w:rPr>
                <w:rFonts w:ascii="Calibri" w:eastAsia="DengXian" w:hAnsi="Calibri" w:cs="Calibri"/>
                <w:sz w:val="24"/>
                <w:szCs w:val="24"/>
                <w:lang w:val="pt-BR"/>
              </w:rPr>
            </w:pPr>
          </w:p>
        </w:tc>
        <w:tc>
          <w:tcPr>
            <w:tcW w:w="707" w:type="dxa"/>
          </w:tcPr>
          <w:p w14:paraId="4CEB5877" w14:textId="77777777" w:rsidR="007744F4" w:rsidRPr="007744F4" w:rsidRDefault="007744F4" w:rsidP="007744F4">
            <w:pPr>
              <w:jc w:val="center"/>
              <w:rPr>
                <w:rFonts w:ascii="Calibri" w:eastAsia="DengXian" w:hAnsi="Calibri" w:cs="Calibri"/>
                <w:sz w:val="24"/>
                <w:szCs w:val="24"/>
                <w:lang w:val="pt-BR"/>
              </w:rPr>
            </w:pPr>
            <w:r w:rsidRPr="007744F4">
              <w:rPr>
                <w:rFonts w:ascii="Calibri" w:eastAsia="DengXian" w:hAnsi="Calibri" w:cs="Calibri"/>
                <w:sz w:val="24"/>
                <w:szCs w:val="24"/>
                <w:lang w:val="pt-BR"/>
              </w:rPr>
              <w:t>0.59</w:t>
            </w:r>
          </w:p>
        </w:tc>
        <w:tc>
          <w:tcPr>
            <w:tcW w:w="1301" w:type="dxa"/>
          </w:tcPr>
          <w:p w14:paraId="7BAD99E1"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35.91</w:t>
            </w:r>
          </w:p>
          <w:p w14:paraId="4DF545F9" w14:textId="77777777" w:rsidR="007744F4" w:rsidRPr="007744F4" w:rsidRDefault="007744F4" w:rsidP="007744F4">
            <w:pPr>
              <w:jc w:val="center"/>
              <w:rPr>
                <w:rFonts w:ascii="Calibri" w:eastAsia="DengXian" w:hAnsi="Calibri" w:cs="Calibri"/>
                <w:sz w:val="24"/>
                <w:szCs w:val="24"/>
                <w:lang w:val="pt-BR"/>
              </w:rPr>
            </w:pPr>
          </w:p>
        </w:tc>
        <w:tc>
          <w:tcPr>
            <w:tcW w:w="1222" w:type="dxa"/>
          </w:tcPr>
          <w:p w14:paraId="558A3766" w14:textId="77777777" w:rsidR="007744F4" w:rsidRPr="007744F4" w:rsidRDefault="007744F4" w:rsidP="007744F4">
            <w:pPr>
              <w:jc w:val="center"/>
              <w:rPr>
                <w:rFonts w:ascii="Calibri" w:eastAsia="DengXian" w:hAnsi="Calibri" w:cs="Calibri"/>
                <w:color w:val="000000"/>
              </w:rPr>
            </w:pPr>
            <w:r w:rsidRPr="007744F4">
              <w:rPr>
                <w:rFonts w:ascii="Calibri" w:eastAsia="DengXian" w:hAnsi="Calibri" w:cs="Calibri"/>
                <w:color w:val="000000"/>
              </w:rPr>
              <w:t>7.60</w:t>
            </w:r>
          </w:p>
          <w:p w14:paraId="327C2B02" w14:textId="77777777" w:rsidR="007744F4" w:rsidRPr="007744F4" w:rsidRDefault="007744F4" w:rsidP="007744F4">
            <w:pPr>
              <w:jc w:val="center"/>
              <w:rPr>
                <w:rFonts w:ascii="Calibri" w:eastAsia="DengXian" w:hAnsi="Calibri" w:cs="Calibri"/>
                <w:sz w:val="24"/>
                <w:szCs w:val="24"/>
                <w:lang w:val="pt-BR"/>
              </w:rPr>
            </w:pPr>
          </w:p>
        </w:tc>
        <w:tc>
          <w:tcPr>
            <w:tcW w:w="705" w:type="dxa"/>
          </w:tcPr>
          <w:p w14:paraId="608AB53B" w14:textId="77777777" w:rsidR="007744F4" w:rsidRPr="007744F4" w:rsidRDefault="007744F4" w:rsidP="007744F4">
            <w:pPr>
              <w:jc w:val="both"/>
              <w:rPr>
                <w:rFonts w:ascii="Calibri" w:eastAsia="DengXian" w:hAnsi="Calibri" w:cs="Calibri"/>
                <w:sz w:val="24"/>
                <w:szCs w:val="24"/>
                <w:lang w:val="pt-BR"/>
              </w:rPr>
            </w:pPr>
            <w:r w:rsidRPr="007744F4">
              <w:rPr>
                <w:rFonts w:ascii="Calibri" w:eastAsia="DengXian" w:hAnsi="Calibri" w:cs="Calibri"/>
                <w:sz w:val="24"/>
                <w:szCs w:val="24"/>
                <w:lang w:val="pt-BR"/>
              </w:rPr>
              <w:t>0.89</w:t>
            </w:r>
          </w:p>
        </w:tc>
        <w:tc>
          <w:tcPr>
            <w:tcW w:w="1428" w:type="dxa"/>
          </w:tcPr>
          <w:p w14:paraId="4457798A" w14:textId="77777777" w:rsidR="007744F4" w:rsidRPr="007744F4" w:rsidRDefault="007744F4" w:rsidP="007744F4">
            <w:pPr>
              <w:jc w:val="both"/>
              <w:rPr>
                <w:rFonts w:ascii="Calibri" w:eastAsia="DengXian" w:hAnsi="Calibri" w:cs="Calibri"/>
                <w:color w:val="000000"/>
              </w:rPr>
            </w:pPr>
            <w:r w:rsidRPr="007744F4">
              <w:rPr>
                <w:rFonts w:ascii="Calibri" w:eastAsia="DengXian" w:hAnsi="Calibri" w:cs="Calibri"/>
                <w:color w:val="000000"/>
              </w:rPr>
              <w:t xml:space="preserve">        59.21</w:t>
            </w:r>
          </w:p>
          <w:p w14:paraId="6ADE8C8E" w14:textId="77777777" w:rsidR="007744F4" w:rsidRPr="007744F4" w:rsidRDefault="007744F4" w:rsidP="007744F4">
            <w:pPr>
              <w:jc w:val="both"/>
              <w:rPr>
                <w:rFonts w:ascii="Calibri" w:eastAsia="DengXian" w:hAnsi="Calibri" w:cs="Calibri"/>
                <w:color w:val="000000"/>
              </w:rPr>
            </w:pPr>
          </w:p>
        </w:tc>
        <w:tc>
          <w:tcPr>
            <w:tcW w:w="1428" w:type="dxa"/>
          </w:tcPr>
          <w:p w14:paraId="76C3133A" w14:textId="77777777" w:rsidR="007744F4" w:rsidRPr="007744F4" w:rsidRDefault="007744F4" w:rsidP="007744F4">
            <w:pPr>
              <w:jc w:val="both"/>
              <w:rPr>
                <w:rFonts w:ascii="Calibri" w:eastAsia="DengXian" w:hAnsi="Calibri" w:cs="Calibri"/>
                <w:color w:val="000000"/>
              </w:rPr>
            </w:pPr>
            <w:r w:rsidRPr="007744F4">
              <w:rPr>
                <w:rFonts w:ascii="Calibri" w:eastAsia="DengXian" w:hAnsi="Calibri" w:cs="Calibri"/>
                <w:color w:val="000000"/>
              </w:rPr>
              <w:t xml:space="preserve">1.77 </w:t>
            </w:r>
            <w:r w:rsidRPr="007744F4">
              <w:rPr>
                <w:rFonts w:ascii="Calibri" w:eastAsia="DengXian" w:hAnsi="Calibri" w:cs="Calibri"/>
                <w:color w:val="000000"/>
                <w:lang w:val="pt-BR"/>
              </w:rPr>
              <w:t>x 10</w:t>
            </w:r>
            <w:r w:rsidRPr="007744F4">
              <w:rPr>
                <w:rFonts w:ascii="Calibri" w:eastAsia="DengXian" w:hAnsi="Calibri" w:cs="Calibri"/>
                <w:color w:val="000000"/>
                <w:vertAlign w:val="superscript"/>
                <w:lang w:val="pt-BR"/>
              </w:rPr>
              <w:t>−5</w:t>
            </w:r>
          </w:p>
        </w:tc>
      </w:tr>
    </w:tbl>
    <w:p w14:paraId="454BC53F" w14:textId="77777777" w:rsidR="00970380" w:rsidRPr="007B26F4" w:rsidRDefault="00970380" w:rsidP="00372440">
      <w:pPr>
        <w:spacing w:line="276" w:lineRule="auto"/>
        <w:jc w:val="both"/>
        <w:rPr>
          <w:rFonts w:ascii="Calibri" w:hAnsi="Calibri" w:cs="Calibri"/>
        </w:rPr>
      </w:pPr>
    </w:p>
    <w:p w14:paraId="315D6A6D" w14:textId="77777777" w:rsidR="00127C02" w:rsidRDefault="00127C02">
      <w:pPr>
        <w:rPr>
          <w:rFonts w:ascii="Calibri" w:eastAsia="DengXian Light" w:hAnsi="Calibri" w:cs="Calibri"/>
          <w:b/>
          <w:sz w:val="24"/>
          <w:szCs w:val="24"/>
        </w:rPr>
      </w:pPr>
      <w:bookmarkStart w:id="24" w:name="_Toc165105693"/>
      <w:bookmarkStart w:id="25" w:name="_Toc165448748"/>
      <w:r>
        <w:rPr>
          <w:rFonts w:eastAsia="DengXian Light" w:cs="Calibri"/>
          <w:szCs w:val="24"/>
        </w:rPr>
        <w:br w:type="page"/>
      </w:r>
    </w:p>
    <w:p w14:paraId="5632021D" w14:textId="07570B69" w:rsidR="007744F4" w:rsidRPr="00372440" w:rsidRDefault="007744F4" w:rsidP="007744F4">
      <w:pPr>
        <w:pStyle w:val="Heading1"/>
        <w:rPr>
          <w:rFonts w:eastAsia="DengXian Light" w:cs="Calibri"/>
          <w:szCs w:val="24"/>
        </w:rPr>
      </w:pPr>
      <w:r w:rsidRPr="00372440">
        <w:rPr>
          <w:rFonts w:eastAsia="DengXian Light" w:cs="Calibri"/>
          <w:szCs w:val="24"/>
        </w:rPr>
        <w:lastRenderedPageBreak/>
        <w:t>References</w:t>
      </w:r>
      <w:bookmarkEnd w:id="24"/>
      <w:bookmarkEnd w:id="25"/>
    </w:p>
    <w:p w14:paraId="59571CC8" w14:textId="77777777" w:rsidR="004C17CA" w:rsidRPr="00372440" w:rsidRDefault="00504AA0" w:rsidP="004C17CA">
      <w:pPr>
        <w:widowControl w:val="0"/>
        <w:autoSpaceDE w:val="0"/>
        <w:autoSpaceDN w:val="0"/>
        <w:adjustRightInd w:val="0"/>
        <w:spacing w:line="240" w:lineRule="auto"/>
        <w:ind w:left="640" w:hanging="640"/>
        <w:jc w:val="both"/>
        <w:rPr>
          <w:rFonts w:ascii="Calibri" w:hAnsi="Calibri" w:cs="Calibri"/>
          <w:noProof/>
          <w:kern w:val="0"/>
          <w:sz w:val="24"/>
          <w:szCs w:val="24"/>
          <w:lang w:val="it-IT"/>
        </w:rPr>
      </w:pPr>
      <w:r w:rsidRPr="00372440">
        <w:rPr>
          <w:rFonts w:ascii="Calibri" w:hAnsi="Calibri" w:cs="Calibri"/>
          <w:sz w:val="24"/>
          <w:szCs w:val="24"/>
        </w:rPr>
        <w:fldChar w:fldCharType="begin" w:fldLock="1"/>
      </w:r>
      <w:r w:rsidRPr="00FE5C80">
        <w:rPr>
          <w:rFonts w:ascii="Calibri" w:hAnsi="Calibri" w:cs="Calibri"/>
          <w:sz w:val="24"/>
          <w:szCs w:val="24"/>
          <w:lang w:val="it-IT"/>
        </w:rPr>
        <w:instrText xml:space="preserve">ADDIN Mendeley Bibliography CSL_BIBLIOGRAPHY </w:instrText>
      </w:r>
      <w:r w:rsidRPr="00372440">
        <w:rPr>
          <w:rFonts w:ascii="Calibri" w:hAnsi="Calibri" w:cs="Calibri"/>
          <w:sz w:val="24"/>
          <w:szCs w:val="24"/>
        </w:rPr>
        <w:fldChar w:fldCharType="separate"/>
      </w:r>
      <w:r w:rsidRPr="00FE5C80">
        <w:rPr>
          <w:rFonts w:ascii="Calibri" w:hAnsi="Calibri" w:cs="Calibri"/>
          <w:noProof/>
          <w:kern w:val="0"/>
          <w:sz w:val="24"/>
          <w:szCs w:val="24"/>
          <w:lang w:val="it-IT"/>
        </w:rPr>
        <w:t>1</w:t>
      </w:r>
      <w:r w:rsidRPr="00FE5C80">
        <w:rPr>
          <w:rFonts w:ascii="Calibri" w:hAnsi="Calibri" w:cs="Calibri"/>
          <w:noProof/>
          <w:kern w:val="0"/>
          <w:sz w:val="24"/>
          <w:szCs w:val="24"/>
          <w:lang w:val="it-IT"/>
        </w:rPr>
        <w:tab/>
      </w:r>
      <w:r w:rsidR="004C17CA" w:rsidRPr="00372440">
        <w:rPr>
          <w:rFonts w:ascii="Calibri" w:hAnsi="Calibri" w:cs="Calibri"/>
          <w:noProof/>
          <w:kern w:val="0"/>
          <w:sz w:val="24"/>
          <w:szCs w:val="24"/>
          <w:lang w:val="it-IT"/>
        </w:rPr>
        <w:t xml:space="preserve">F. P. Abramo, F. De Luca, R. Passalacqua, G. Centi, G. Giorgianni, S. Perathoner and S. Abate, </w:t>
      </w:r>
      <w:r w:rsidR="004C17CA" w:rsidRPr="00372440">
        <w:rPr>
          <w:rFonts w:ascii="Calibri" w:hAnsi="Calibri" w:cs="Calibri"/>
          <w:i/>
          <w:iCs/>
          <w:noProof/>
          <w:kern w:val="0"/>
          <w:sz w:val="24"/>
          <w:szCs w:val="24"/>
          <w:lang w:val="it-IT"/>
        </w:rPr>
        <w:t>J. Energy Chem.</w:t>
      </w:r>
      <w:r w:rsidR="004C17CA" w:rsidRPr="00372440">
        <w:rPr>
          <w:rFonts w:ascii="Calibri" w:hAnsi="Calibri" w:cs="Calibri"/>
          <w:noProof/>
          <w:kern w:val="0"/>
          <w:sz w:val="24"/>
          <w:szCs w:val="24"/>
          <w:lang w:val="it-IT"/>
        </w:rPr>
        <w:t xml:space="preserve">, 2022, </w:t>
      </w:r>
      <w:r w:rsidR="004C17CA" w:rsidRPr="00372440">
        <w:rPr>
          <w:rFonts w:ascii="Calibri" w:hAnsi="Calibri" w:cs="Calibri"/>
          <w:b/>
          <w:bCs/>
          <w:noProof/>
          <w:kern w:val="0"/>
          <w:sz w:val="24"/>
          <w:szCs w:val="24"/>
          <w:lang w:val="it-IT"/>
        </w:rPr>
        <w:t>68</w:t>
      </w:r>
      <w:r w:rsidR="004C17CA" w:rsidRPr="00372440">
        <w:rPr>
          <w:rFonts w:ascii="Calibri" w:hAnsi="Calibri" w:cs="Calibri"/>
          <w:noProof/>
          <w:kern w:val="0"/>
          <w:sz w:val="24"/>
          <w:szCs w:val="24"/>
          <w:lang w:val="it-IT"/>
        </w:rPr>
        <w:t>, 669–678.</w:t>
      </w:r>
    </w:p>
    <w:p w14:paraId="1F3DE4A8" w14:textId="77777777" w:rsidR="004C17CA" w:rsidRPr="00FE5C8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rPr>
      </w:pPr>
      <w:r w:rsidRPr="00FE5C80">
        <w:rPr>
          <w:rFonts w:ascii="Calibri" w:hAnsi="Calibri" w:cs="Calibri"/>
          <w:noProof/>
          <w:kern w:val="0"/>
          <w:sz w:val="24"/>
          <w:szCs w:val="24"/>
          <w:lang w:val="de-DE"/>
        </w:rPr>
        <w:t>2</w:t>
      </w:r>
      <w:r w:rsidRPr="00FE5C80">
        <w:rPr>
          <w:rFonts w:ascii="Calibri" w:hAnsi="Calibri" w:cs="Calibri"/>
          <w:noProof/>
          <w:kern w:val="0"/>
          <w:sz w:val="24"/>
          <w:szCs w:val="24"/>
          <w:lang w:val="de-DE"/>
        </w:rPr>
        <w:tab/>
      </w:r>
      <w:r w:rsidR="004C17CA" w:rsidRPr="00372440">
        <w:rPr>
          <w:rFonts w:ascii="Calibri" w:hAnsi="Calibri" w:cs="Calibri"/>
          <w:noProof/>
          <w:kern w:val="0"/>
          <w:sz w:val="24"/>
          <w:szCs w:val="24"/>
          <w:lang w:val="de-DE"/>
        </w:rPr>
        <w:t xml:space="preserve">L. Fan, C. Xia, P. Zhu, Y. Lu and H. Wang, </w:t>
      </w:r>
      <w:r w:rsidR="004C17CA" w:rsidRPr="00372440">
        <w:rPr>
          <w:rFonts w:ascii="Calibri" w:hAnsi="Calibri" w:cs="Calibri"/>
          <w:i/>
          <w:iCs/>
          <w:noProof/>
          <w:kern w:val="0"/>
          <w:sz w:val="24"/>
          <w:szCs w:val="24"/>
          <w:lang w:val="de-DE"/>
        </w:rPr>
        <w:t xml:space="preserve">Nat. </w:t>
      </w:r>
      <w:r w:rsidR="004C17CA" w:rsidRPr="00FE5C80">
        <w:rPr>
          <w:rFonts w:ascii="Calibri" w:hAnsi="Calibri" w:cs="Calibri"/>
          <w:i/>
          <w:iCs/>
          <w:noProof/>
          <w:kern w:val="0"/>
          <w:sz w:val="24"/>
          <w:szCs w:val="24"/>
        </w:rPr>
        <w:t>Commun.</w:t>
      </w:r>
      <w:r w:rsidR="004C17CA" w:rsidRPr="00FE5C80">
        <w:rPr>
          <w:rFonts w:ascii="Calibri" w:hAnsi="Calibri" w:cs="Calibri"/>
          <w:noProof/>
          <w:kern w:val="0"/>
          <w:sz w:val="24"/>
          <w:szCs w:val="24"/>
        </w:rPr>
        <w:t xml:space="preserve">, 2020, </w:t>
      </w:r>
      <w:r w:rsidR="004C17CA" w:rsidRPr="00FE5C80">
        <w:rPr>
          <w:rFonts w:ascii="Calibri" w:hAnsi="Calibri" w:cs="Calibri"/>
          <w:b/>
          <w:bCs/>
          <w:noProof/>
          <w:kern w:val="0"/>
          <w:sz w:val="24"/>
          <w:szCs w:val="24"/>
        </w:rPr>
        <w:t>11</w:t>
      </w:r>
      <w:r w:rsidR="004C17CA" w:rsidRPr="00FE5C80">
        <w:rPr>
          <w:rFonts w:ascii="Calibri" w:hAnsi="Calibri" w:cs="Calibri"/>
          <w:noProof/>
          <w:kern w:val="0"/>
          <w:sz w:val="24"/>
          <w:szCs w:val="24"/>
        </w:rPr>
        <w:t>, 1–9.</w:t>
      </w:r>
    </w:p>
    <w:p w14:paraId="15B58C11" w14:textId="210A3271" w:rsidR="00504AA0" w:rsidRPr="0037244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rPr>
      </w:pPr>
      <w:r w:rsidRPr="00372440">
        <w:rPr>
          <w:rFonts w:ascii="Calibri" w:hAnsi="Calibri" w:cs="Calibri"/>
          <w:noProof/>
          <w:kern w:val="0"/>
          <w:sz w:val="24"/>
          <w:szCs w:val="24"/>
        </w:rPr>
        <w:t>3</w:t>
      </w:r>
      <w:r w:rsidRPr="00372440">
        <w:rPr>
          <w:rFonts w:ascii="Calibri" w:hAnsi="Calibri" w:cs="Calibri"/>
          <w:noProof/>
          <w:kern w:val="0"/>
          <w:sz w:val="24"/>
          <w:szCs w:val="24"/>
        </w:rPr>
        <w:tab/>
        <w:t xml:space="preserve">C. C. L. McCrory, S. Jung, J. C. Peters and T. F. Jaramillo, </w:t>
      </w:r>
      <w:r w:rsidRPr="00372440">
        <w:rPr>
          <w:rFonts w:ascii="Calibri" w:hAnsi="Calibri" w:cs="Calibri"/>
          <w:i/>
          <w:iCs/>
          <w:noProof/>
          <w:kern w:val="0"/>
          <w:sz w:val="24"/>
          <w:szCs w:val="24"/>
        </w:rPr>
        <w:t>J. Am. Chem. Soc.</w:t>
      </w:r>
      <w:r w:rsidRPr="00372440">
        <w:rPr>
          <w:rFonts w:ascii="Calibri" w:hAnsi="Calibri" w:cs="Calibri"/>
          <w:noProof/>
          <w:kern w:val="0"/>
          <w:sz w:val="24"/>
          <w:szCs w:val="24"/>
        </w:rPr>
        <w:t xml:space="preserve">, 2013, </w:t>
      </w:r>
      <w:r w:rsidRPr="00372440">
        <w:rPr>
          <w:rFonts w:ascii="Calibri" w:hAnsi="Calibri" w:cs="Calibri"/>
          <w:b/>
          <w:bCs/>
          <w:noProof/>
          <w:kern w:val="0"/>
          <w:sz w:val="24"/>
          <w:szCs w:val="24"/>
        </w:rPr>
        <w:t>135</w:t>
      </w:r>
      <w:r w:rsidRPr="00372440">
        <w:rPr>
          <w:rFonts w:ascii="Calibri" w:hAnsi="Calibri" w:cs="Calibri"/>
          <w:noProof/>
          <w:kern w:val="0"/>
          <w:sz w:val="24"/>
          <w:szCs w:val="24"/>
        </w:rPr>
        <w:t>, 16977–16987.</w:t>
      </w:r>
    </w:p>
    <w:p w14:paraId="70CB2C95" w14:textId="77777777" w:rsidR="00504AA0" w:rsidRPr="00FE5C8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lang w:val="pt-BR"/>
        </w:rPr>
      </w:pPr>
      <w:r w:rsidRPr="00372440">
        <w:rPr>
          <w:rFonts w:ascii="Calibri" w:hAnsi="Calibri" w:cs="Calibri"/>
          <w:noProof/>
          <w:kern w:val="0"/>
          <w:sz w:val="24"/>
          <w:szCs w:val="24"/>
        </w:rPr>
        <w:t>4</w:t>
      </w:r>
      <w:r w:rsidRPr="00372440">
        <w:rPr>
          <w:rFonts w:ascii="Calibri" w:hAnsi="Calibri" w:cs="Calibri"/>
          <w:noProof/>
          <w:kern w:val="0"/>
          <w:sz w:val="24"/>
          <w:szCs w:val="24"/>
        </w:rPr>
        <w:tab/>
        <w:t xml:space="preserve">C. C. L. McCrory, S. Jung, I. M. Ferrer, S. M. Chatman, J. C. Peters and T. F. Jaramillo, </w:t>
      </w:r>
      <w:r w:rsidRPr="00372440">
        <w:rPr>
          <w:rFonts w:ascii="Calibri" w:hAnsi="Calibri" w:cs="Calibri"/>
          <w:i/>
          <w:iCs/>
          <w:noProof/>
          <w:kern w:val="0"/>
          <w:sz w:val="24"/>
          <w:szCs w:val="24"/>
        </w:rPr>
        <w:t xml:space="preserve">J. Am. </w:t>
      </w:r>
      <w:r w:rsidRPr="00FE5C80">
        <w:rPr>
          <w:rFonts w:ascii="Calibri" w:hAnsi="Calibri" w:cs="Calibri"/>
          <w:i/>
          <w:iCs/>
          <w:noProof/>
          <w:kern w:val="0"/>
          <w:sz w:val="24"/>
          <w:szCs w:val="24"/>
          <w:lang w:val="pt-BR"/>
        </w:rPr>
        <w:t>Chem. Soc.</w:t>
      </w:r>
      <w:r w:rsidRPr="00FE5C80">
        <w:rPr>
          <w:rFonts w:ascii="Calibri" w:hAnsi="Calibri" w:cs="Calibri"/>
          <w:noProof/>
          <w:kern w:val="0"/>
          <w:sz w:val="24"/>
          <w:szCs w:val="24"/>
          <w:lang w:val="pt-BR"/>
        </w:rPr>
        <w:t xml:space="preserve">, 2015, </w:t>
      </w:r>
      <w:r w:rsidRPr="00FE5C80">
        <w:rPr>
          <w:rFonts w:ascii="Calibri" w:hAnsi="Calibri" w:cs="Calibri"/>
          <w:b/>
          <w:bCs/>
          <w:noProof/>
          <w:kern w:val="0"/>
          <w:sz w:val="24"/>
          <w:szCs w:val="24"/>
          <w:lang w:val="pt-BR"/>
        </w:rPr>
        <w:t>137</w:t>
      </w:r>
      <w:r w:rsidRPr="00FE5C80">
        <w:rPr>
          <w:rFonts w:ascii="Calibri" w:hAnsi="Calibri" w:cs="Calibri"/>
          <w:noProof/>
          <w:kern w:val="0"/>
          <w:sz w:val="24"/>
          <w:szCs w:val="24"/>
          <w:lang w:val="pt-BR"/>
        </w:rPr>
        <w:t>, 4347–4357.</w:t>
      </w:r>
    </w:p>
    <w:p w14:paraId="463A625B" w14:textId="77777777" w:rsidR="0047009E" w:rsidRPr="00372440" w:rsidRDefault="00504AA0" w:rsidP="0047009E">
      <w:pPr>
        <w:widowControl w:val="0"/>
        <w:autoSpaceDE w:val="0"/>
        <w:autoSpaceDN w:val="0"/>
        <w:adjustRightInd w:val="0"/>
        <w:spacing w:line="240" w:lineRule="auto"/>
        <w:ind w:left="640" w:hanging="640"/>
        <w:jc w:val="both"/>
        <w:rPr>
          <w:rFonts w:ascii="Calibri" w:hAnsi="Calibri" w:cs="Calibri"/>
          <w:i/>
          <w:iCs/>
          <w:noProof/>
          <w:kern w:val="0"/>
          <w:sz w:val="24"/>
          <w:szCs w:val="24"/>
          <w:lang w:val="pt-BR"/>
        </w:rPr>
      </w:pPr>
      <w:r w:rsidRPr="00FE5C80">
        <w:rPr>
          <w:rFonts w:ascii="Calibri" w:hAnsi="Calibri" w:cs="Calibri"/>
          <w:noProof/>
          <w:kern w:val="0"/>
          <w:sz w:val="24"/>
          <w:szCs w:val="24"/>
          <w:lang w:val="pt-BR"/>
        </w:rPr>
        <w:t>5</w:t>
      </w:r>
      <w:r w:rsidRPr="00FE5C80">
        <w:rPr>
          <w:rFonts w:ascii="Calibri" w:hAnsi="Calibri" w:cs="Calibri"/>
          <w:noProof/>
          <w:kern w:val="0"/>
          <w:sz w:val="24"/>
          <w:szCs w:val="24"/>
          <w:lang w:val="pt-BR"/>
        </w:rPr>
        <w:tab/>
      </w:r>
      <w:r w:rsidR="0047009E" w:rsidRPr="00372440">
        <w:rPr>
          <w:rFonts w:ascii="Calibri" w:hAnsi="Calibri" w:cs="Calibri"/>
          <w:noProof/>
          <w:kern w:val="0"/>
          <w:sz w:val="24"/>
          <w:szCs w:val="24"/>
          <w:lang w:val="pt-BR"/>
        </w:rPr>
        <w:t xml:space="preserve">Z. Ertekin, U. Tamer, K. Pekmez, </w:t>
      </w:r>
      <w:r w:rsidR="0047009E" w:rsidRPr="00372440">
        <w:rPr>
          <w:rFonts w:ascii="Calibri" w:hAnsi="Calibri" w:cs="Calibri"/>
          <w:i/>
          <w:iCs/>
          <w:noProof/>
          <w:kern w:val="0"/>
          <w:sz w:val="24"/>
          <w:szCs w:val="24"/>
          <w:lang w:val="pt-BR"/>
        </w:rPr>
        <w:t>Electrochimica Acta</w:t>
      </w:r>
      <w:r w:rsidR="0047009E" w:rsidRPr="00372440">
        <w:rPr>
          <w:rFonts w:ascii="Calibri" w:hAnsi="Calibri" w:cs="Calibri"/>
          <w:noProof/>
          <w:kern w:val="0"/>
          <w:sz w:val="24"/>
          <w:szCs w:val="24"/>
          <w:lang w:val="pt-BR"/>
        </w:rPr>
        <w:t xml:space="preserve">, 2015, </w:t>
      </w:r>
      <w:r w:rsidR="0047009E" w:rsidRPr="00372440">
        <w:rPr>
          <w:rFonts w:ascii="Calibri" w:hAnsi="Calibri" w:cs="Calibri"/>
          <w:b/>
          <w:bCs/>
          <w:noProof/>
          <w:kern w:val="0"/>
          <w:sz w:val="24"/>
          <w:szCs w:val="24"/>
          <w:lang w:val="pt-BR"/>
        </w:rPr>
        <w:t>163</w:t>
      </w:r>
      <w:r w:rsidR="0047009E" w:rsidRPr="00372440">
        <w:rPr>
          <w:rFonts w:ascii="Calibri" w:hAnsi="Calibri" w:cs="Calibri"/>
          <w:noProof/>
          <w:kern w:val="0"/>
          <w:sz w:val="24"/>
          <w:szCs w:val="24"/>
          <w:lang w:val="pt-BR"/>
        </w:rPr>
        <w:t>, 77–81</w:t>
      </w:r>
      <w:r w:rsidR="0047009E" w:rsidRPr="00372440">
        <w:rPr>
          <w:rFonts w:ascii="Calibri" w:hAnsi="Calibri" w:cs="Calibri"/>
          <w:i/>
          <w:iCs/>
          <w:noProof/>
          <w:kern w:val="0"/>
          <w:sz w:val="24"/>
          <w:szCs w:val="24"/>
          <w:lang w:val="pt-BR"/>
        </w:rPr>
        <w:t>.</w:t>
      </w:r>
    </w:p>
    <w:p w14:paraId="177A094A" w14:textId="48DC2116" w:rsidR="00504AA0" w:rsidRPr="00FE5C8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lang w:val="it-IT"/>
        </w:rPr>
      </w:pPr>
      <w:r w:rsidRPr="00FE5C80">
        <w:rPr>
          <w:rFonts w:ascii="Calibri" w:hAnsi="Calibri" w:cs="Calibri"/>
          <w:noProof/>
          <w:kern w:val="0"/>
          <w:sz w:val="24"/>
          <w:szCs w:val="24"/>
          <w:lang w:val="it-IT"/>
        </w:rPr>
        <w:t>6</w:t>
      </w:r>
      <w:r w:rsidRPr="00FE5C80">
        <w:rPr>
          <w:rFonts w:ascii="Calibri" w:hAnsi="Calibri" w:cs="Calibri"/>
          <w:noProof/>
          <w:kern w:val="0"/>
          <w:sz w:val="24"/>
          <w:szCs w:val="24"/>
          <w:lang w:val="it-IT"/>
        </w:rPr>
        <w:tab/>
        <w:t xml:space="preserve">W. Navarrini, T. Brivio, D. Capobianco, M. V. Diamanti, M. Pedeferri, L. Magagnin and G. Resnati, </w:t>
      </w:r>
      <w:r w:rsidRPr="00FE5C80">
        <w:rPr>
          <w:rFonts w:ascii="Calibri" w:hAnsi="Calibri" w:cs="Calibri"/>
          <w:i/>
          <w:iCs/>
          <w:noProof/>
          <w:kern w:val="0"/>
          <w:sz w:val="24"/>
          <w:szCs w:val="24"/>
          <w:lang w:val="it-IT"/>
        </w:rPr>
        <w:t>J. Coatings Technol. Res.</w:t>
      </w:r>
      <w:r w:rsidRPr="00FE5C80">
        <w:rPr>
          <w:rFonts w:ascii="Calibri" w:hAnsi="Calibri" w:cs="Calibri"/>
          <w:noProof/>
          <w:kern w:val="0"/>
          <w:sz w:val="24"/>
          <w:szCs w:val="24"/>
          <w:lang w:val="it-IT"/>
        </w:rPr>
        <w:t xml:space="preserve">, 2011, </w:t>
      </w:r>
      <w:r w:rsidRPr="00FE5C80">
        <w:rPr>
          <w:rFonts w:ascii="Calibri" w:hAnsi="Calibri" w:cs="Calibri"/>
          <w:b/>
          <w:bCs/>
          <w:noProof/>
          <w:kern w:val="0"/>
          <w:sz w:val="24"/>
          <w:szCs w:val="24"/>
          <w:lang w:val="it-IT"/>
        </w:rPr>
        <w:t>8</w:t>
      </w:r>
      <w:r w:rsidRPr="00FE5C80">
        <w:rPr>
          <w:rFonts w:ascii="Calibri" w:hAnsi="Calibri" w:cs="Calibri"/>
          <w:noProof/>
          <w:kern w:val="0"/>
          <w:sz w:val="24"/>
          <w:szCs w:val="24"/>
          <w:lang w:val="it-IT"/>
        </w:rPr>
        <w:t>, 153–160.</w:t>
      </w:r>
    </w:p>
    <w:p w14:paraId="3FC30BB0" w14:textId="77777777" w:rsidR="00504AA0" w:rsidRPr="00FE5C8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lang w:val="it-IT"/>
        </w:rPr>
      </w:pPr>
      <w:r w:rsidRPr="00FE5C80">
        <w:rPr>
          <w:rFonts w:ascii="Calibri" w:hAnsi="Calibri" w:cs="Calibri"/>
          <w:noProof/>
          <w:kern w:val="0"/>
          <w:sz w:val="24"/>
          <w:szCs w:val="24"/>
          <w:lang w:val="it-IT"/>
        </w:rPr>
        <w:t>7</w:t>
      </w:r>
      <w:r w:rsidRPr="00FE5C80">
        <w:rPr>
          <w:rFonts w:ascii="Calibri" w:hAnsi="Calibri" w:cs="Calibri"/>
          <w:noProof/>
          <w:kern w:val="0"/>
          <w:sz w:val="24"/>
          <w:szCs w:val="24"/>
          <w:lang w:val="it-IT"/>
        </w:rPr>
        <w:tab/>
        <w:t xml:space="preserve">J. Winiarski, A. Niciejewska, M. Górnik, J. Jakubowski, W. Tylus and B. Szczygieł, </w:t>
      </w:r>
      <w:r w:rsidRPr="00FE5C80">
        <w:rPr>
          <w:rFonts w:ascii="Calibri" w:hAnsi="Calibri" w:cs="Calibri"/>
          <w:i/>
          <w:iCs/>
          <w:noProof/>
          <w:kern w:val="0"/>
          <w:sz w:val="24"/>
          <w:szCs w:val="24"/>
          <w:lang w:val="it-IT"/>
        </w:rPr>
        <w:t>RSC Adv.</w:t>
      </w:r>
      <w:r w:rsidRPr="00FE5C80">
        <w:rPr>
          <w:rFonts w:ascii="Calibri" w:hAnsi="Calibri" w:cs="Calibri"/>
          <w:noProof/>
          <w:kern w:val="0"/>
          <w:sz w:val="24"/>
          <w:szCs w:val="24"/>
          <w:lang w:val="it-IT"/>
        </w:rPr>
        <w:t xml:space="preserve">, 2021, </w:t>
      </w:r>
      <w:r w:rsidRPr="00FE5C80">
        <w:rPr>
          <w:rFonts w:ascii="Calibri" w:hAnsi="Calibri" w:cs="Calibri"/>
          <w:b/>
          <w:bCs/>
          <w:noProof/>
          <w:kern w:val="0"/>
          <w:sz w:val="24"/>
          <w:szCs w:val="24"/>
          <w:lang w:val="it-IT"/>
        </w:rPr>
        <w:t>11</w:t>
      </w:r>
      <w:r w:rsidRPr="00FE5C80">
        <w:rPr>
          <w:rFonts w:ascii="Calibri" w:hAnsi="Calibri" w:cs="Calibri"/>
          <w:noProof/>
          <w:kern w:val="0"/>
          <w:sz w:val="24"/>
          <w:szCs w:val="24"/>
          <w:lang w:val="it-IT"/>
        </w:rPr>
        <w:t>, 21104–21115.</w:t>
      </w:r>
    </w:p>
    <w:p w14:paraId="38A4346E" w14:textId="77777777" w:rsidR="00504AA0" w:rsidRPr="0037244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rPr>
      </w:pPr>
      <w:r w:rsidRPr="00FE5C80">
        <w:rPr>
          <w:rFonts w:ascii="Calibri" w:hAnsi="Calibri" w:cs="Calibri"/>
          <w:noProof/>
          <w:kern w:val="0"/>
          <w:sz w:val="24"/>
          <w:szCs w:val="24"/>
          <w:lang w:val="it-IT"/>
        </w:rPr>
        <w:t>8</w:t>
      </w:r>
      <w:r w:rsidRPr="00FE5C80">
        <w:rPr>
          <w:rFonts w:ascii="Calibri" w:hAnsi="Calibri" w:cs="Calibri"/>
          <w:noProof/>
          <w:kern w:val="0"/>
          <w:sz w:val="24"/>
          <w:szCs w:val="24"/>
          <w:lang w:val="it-IT"/>
        </w:rPr>
        <w:tab/>
        <w:t xml:space="preserve">P. Vlcak, J. Fojt, J. Drahokoupil, V. Brezina, J. Sepitka, T. Horazdovsky, J. Miksovsky, F. Cerny, M. Lebeda and M. Haubner, </w:t>
      </w:r>
      <w:r w:rsidRPr="00FE5C80">
        <w:rPr>
          <w:rFonts w:ascii="Calibri" w:hAnsi="Calibri" w:cs="Calibri"/>
          <w:i/>
          <w:iCs/>
          <w:noProof/>
          <w:kern w:val="0"/>
          <w:sz w:val="24"/>
          <w:szCs w:val="24"/>
          <w:lang w:val="it-IT"/>
        </w:rPr>
        <w:t xml:space="preserve">Mater. </w:t>
      </w:r>
      <w:r w:rsidRPr="00372440">
        <w:rPr>
          <w:rFonts w:ascii="Calibri" w:hAnsi="Calibri" w:cs="Calibri"/>
          <w:i/>
          <w:iCs/>
          <w:noProof/>
          <w:kern w:val="0"/>
          <w:sz w:val="24"/>
          <w:szCs w:val="24"/>
        </w:rPr>
        <w:t>Sci. Eng. C</w:t>
      </w:r>
      <w:r w:rsidRPr="00372440">
        <w:rPr>
          <w:rFonts w:ascii="Calibri" w:hAnsi="Calibri" w:cs="Calibri"/>
          <w:noProof/>
          <w:kern w:val="0"/>
          <w:sz w:val="24"/>
          <w:szCs w:val="24"/>
        </w:rPr>
        <w:t xml:space="preserve">, 2020, </w:t>
      </w:r>
      <w:r w:rsidRPr="00372440">
        <w:rPr>
          <w:rFonts w:ascii="Calibri" w:hAnsi="Calibri" w:cs="Calibri"/>
          <w:b/>
          <w:bCs/>
          <w:noProof/>
          <w:kern w:val="0"/>
          <w:sz w:val="24"/>
          <w:szCs w:val="24"/>
        </w:rPr>
        <w:t>115</w:t>
      </w:r>
      <w:r w:rsidRPr="00372440">
        <w:rPr>
          <w:rFonts w:ascii="Calibri" w:hAnsi="Calibri" w:cs="Calibri"/>
          <w:noProof/>
          <w:kern w:val="0"/>
          <w:sz w:val="24"/>
          <w:szCs w:val="24"/>
        </w:rPr>
        <w:t>, 111065.</w:t>
      </w:r>
    </w:p>
    <w:p w14:paraId="5A5F8BA2" w14:textId="77777777" w:rsidR="0047009E" w:rsidRPr="00372440" w:rsidRDefault="00504AA0" w:rsidP="0047009E">
      <w:pPr>
        <w:widowControl w:val="0"/>
        <w:autoSpaceDE w:val="0"/>
        <w:autoSpaceDN w:val="0"/>
        <w:adjustRightInd w:val="0"/>
        <w:spacing w:line="240" w:lineRule="auto"/>
        <w:ind w:left="640" w:hanging="640"/>
        <w:jc w:val="both"/>
        <w:rPr>
          <w:rFonts w:ascii="Calibri" w:hAnsi="Calibri" w:cs="Calibri"/>
          <w:noProof/>
          <w:kern w:val="0"/>
          <w:sz w:val="24"/>
          <w:szCs w:val="24"/>
        </w:rPr>
      </w:pPr>
      <w:r w:rsidRPr="00372440">
        <w:rPr>
          <w:rFonts w:ascii="Calibri" w:hAnsi="Calibri" w:cs="Calibri"/>
          <w:noProof/>
          <w:kern w:val="0"/>
          <w:sz w:val="24"/>
          <w:szCs w:val="24"/>
        </w:rPr>
        <w:t>9</w:t>
      </w:r>
      <w:r w:rsidRPr="00372440">
        <w:rPr>
          <w:rFonts w:ascii="Calibri" w:hAnsi="Calibri" w:cs="Calibri"/>
          <w:noProof/>
          <w:kern w:val="0"/>
          <w:sz w:val="24"/>
          <w:szCs w:val="24"/>
        </w:rPr>
        <w:tab/>
      </w:r>
      <w:r w:rsidR="0047009E" w:rsidRPr="00372440">
        <w:rPr>
          <w:rFonts w:ascii="Calibri" w:hAnsi="Calibri" w:cs="Calibri"/>
          <w:noProof/>
          <w:kern w:val="0"/>
          <w:sz w:val="24"/>
          <w:szCs w:val="24"/>
        </w:rPr>
        <w:t xml:space="preserve">K. M. Thulasi, S. T. Manikkoth, A. Paravannoor, S. Palantavida and B. K. Vijayan, </w:t>
      </w:r>
      <w:r w:rsidR="0047009E" w:rsidRPr="00372440">
        <w:rPr>
          <w:rFonts w:ascii="Calibri" w:hAnsi="Calibri" w:cs="Calibri"/>
          <w:i/>
          <w:iCs/>
          <w:noProof/>
          <w:kern w:val="0"/>
          <w:sz w:val="24"/>
          <w:szCs w:val="24"/>
        </w:rPr>
        <w:t>International Journal of Materials Science,</w:t>
      </w:r>
      <w:r w:rsidR="0047009E" w:rsidRPr="00372440">
        <w:rPr>
          <w:rFonts w:ascii="Calibri" w:hAnsi="Calibri" w:cs="Calibri"/>
          <w:noProof/>
          <w:kern w:val="0"/>
          <w:sz w:val="24"/>
          <w:szCs w:val="24"/>
        </w:rPr>
        <w:t xml:space="preserve"> 2021, </w:t>
      </w:r>
      <w:r w:rsidR="0047009E" w:rsidRPr="00372440">
        <w:rPr>
          <w:rFonts w:ascii="Calibri" w:hAnsi="Calibri" w:cs="Calibri"/>
          <w:b/>
          <w:bCs/>
          <w:noProof/>
          <w:kern w:val="0"/>
          <w:sz w:val="24"/>
          <w:szCs w:val="24"/>
        </w:rPr>
        <w:t>112</w:t>
      </w:r>
      <w:r w:rsidR="0047009E" w:rsidRPr="00372440">
        <w:rPr>
          <w:rFonts w:ascii="Calibri" w:hAnsi="Calibri" w:cs="Calibri"/>
          <w:noProof/>
          <w:kern w:val="0"/>
          <w:sz w:val="24"/>
          <w:szCs w:val="24"/>
        </w:rPr>
        <w:t>, 937–944.</w:t>
      </w:r>
    </w:p>
    <w:p w14:paraId="50350E76" w14:textId="1E7CB9C5" w:rsidR="00504AA0" w:rsidRPr="00E615B2"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rPr>
      </w:pPr>
      <w:r w:rsidRPr="00372440">
        <w:rPr>
          <w:rFonts w:ascii="Calibri" w:hAnsi="Calibri" w:cs="Calibri"/>
          <w:noProof/>
          <w:kern w:val="0"/>
          <w:sz w:val="24"/>
          <w:szCs w:val="24"/>
        </w:rPr>
        <w:t>10</w:t>
      </w:r>
      <w:r w:rsidRPr="00372440">
        <w:rPr>
          <w:rFonts w:ascii="Calibri" w:hAnsi="Calibri" w:cs="Calibri"/>
          <w:noProof/>
          <w:kern w:val="0"/>
          <w:sz w:val="24"/>
          <w:szCs w:val="24"/>
        </w:rPr>
        <w:tab/>
      </w:r>
      <w:r w:rsidRPr="00E615B2">
        <w:rPr>
          <w:rFonts w:ascii="Calibri" w:hAnsi="Calibri" w:cs="Calibri"/>
          <w:noProof/>
          <w:kern w:val="0"/>
          <w:sz w:val="24"/>
          <w:szCs w:val="24"/>
        </w:rPr>
        <w:t xml:space="preserve">E. Cossar, M. S. E. Houache, Z. Zhang and E. A. Baranova, </w:t>
      </w:r>
      <w:r w:rsidRPr="00E615B2">
        <w:rPr>
          <w:rFonts w:ascii="Calibri" w:hAnsi="Calibri" w:cs="Calibri"/>
          <w:i/>
          <w:iCs/>
          <w:noProof/>
          <w:kern w:val="0"/>
          <w:sz w:val="24"/>
          <w:szCs w:val="24"/>
        </w:rPr>
        <w:t>J. Electroanal. Chem.</w:t>
      </w:r>
      <w:r w:rsidRPr="00E615B2">
        <w:rPr>
          <w:rFonts w:ascii="Calibri" w:hAnsi="Calibri" w:cs="Calibri"/>
          <w:noProof/>
          <w:kern w:val="0"/>
          <w:sz w:val="24"/>
          <w:szCs w:val="24"/>
        </w:rPr>
        <w:t xml:space="preserve">, 2020, </w:t>
      </w:r>
      <w:r w:rsidRPr="00E615B2">
        <w:rPr>
          <w:rFonts w:ascii="Calibri" w:hAnsi="Calibri" w:cs="Calibri"/>
          <w:b/>
          <w:bCs/>
          <w:noProof/>
          <w:kern w:val="0"/>
          <w:sz w:val="24"/>
          <w:szCs w:val="24"/>
        </w:rPr>
        <w:t>870</w:t>
      </w:r>
      <w:r w:rsidRPr="00E615B2">
        <w:rPr>
          <w:rFonts w:ascii="Calibri" w:hAnsi="Calibri" w:cs="Calibri"/>
          <w:noProof/>
          <w:kern w:val="0"/>
          <w:sz w:val="24"/>
          <w:szCs w:val="24"/>
        </w:rPr>
        <w:t>, 114246.</w:t>
      </w:r>
    </w:p>
    <w:p w14:paraId="1E78A3BB" w14:textId="77777777" w:rsidR="00504AA0" w:rsidRPr="00E615B2"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lang w:val="de-DE"/>
        </w:rPr>
      </w:pPr>
      <w:r w:rsidRPr="00E615B2">
        <w:rPr>
          <w:rFonts w:ascii="Calibri" w:hAnsi="Calibri" w:cs="Calibri"/>
          <w:noProof/>
          <w:kern w:val="0"/>
          <w:sz w:val="24"/>
          <w:szCs w:val="24"/>
        </w:rPr>
        <w:t>11</w:t>
      </w:r>
      <w:r w:rsidRPr="00E615B2">
        <w:rPr>
          <w:rFonts w:ascii="Calibri" w:hAnsi="Calibri" w:cs="Calibri"/>
          <w:noProof/>
          <w:kern w:val="0"/>
          <w:sz w:val="24"/>
          <w:szCs w:val="24"/>
        </w:rPr>
        <w:tab/>
        <w:t xml:space="preserve">S. Zhao, H. Yu, R. Maric, N. Danilovic, C. B. Capuano, K. E. Ayers and W. E. Mustain, </w:t>
      </w:r>
      <w:r w:rsidRPr="00E615B2">
        <w:rPr>
          <w:rFonts w:ascii="Calibri" w:hAnsi="Calibri" w:cs="Calibri"/>
          <w:i/>
          <w:iCs/>
          <w:noProof/>
          <w:kern w:val="0"/>
          <w:sz w:val="24"/>
          <w:szCs w:val="24"/>
        </w:rPr>
        <w:t xml:space="preserve">J. Electrochem. </w:t>
      </w:r>
      <w:r w:rsidRPr="00E615B2">
        <w:rPr>
          <w:rFonts w:ascii="Calibri" w:hAnsi="Calibri" w:cs="Calibri"/>
          <w:i/>
          <w:iCs/>
          <w:noProof/>
          <w:kern w:val="0"/>
          <w:sz w:val="24"/>
          <w:szCs w:val="24"/>
          <w:lang w:val="de-DE"/>
        </w:rPr>
        <w:t>Soc.</w:t>
      </w:r>
      <w:r w:rsidRPr="00E615B2">
        <w:rPr>
          <w:rFonts w:ascii="Calibri" w:hAnsi="Calibri" w:cs="Calibri"/>
          <w:noProof/>
          <w:kern w:val="0"/>
          <w:sz w:val="24"/>
          <w:szCs w:val="24"/>
          <w:lang w:val="de-DE"/>
        </w:rPr>
        <w:t xml:space="preserve">, 2015, </w:t>
      </w:r>
      <w:r w:rsidRPr="00E615B2">
        <w:rPr>
          <w:rFonts w:ascii="Calibri" w:hAnsi="Calibri" w:cs="Calibri"/>
          <w:b/>
          <w:bCs/>
          <w:noProof/>
          <w:kern w:val="0"/>
          <w:sz w:val="24"/>
          <w:szCs w:val="24"/>
          <w:lang w:val="de-DE"/>
        </w:rPr>
        <w:t>162</w:t>
      </w:r>
      <w:r w:rsidRPr="00E615B2">
        <w:rPr>
          <w:rFonts w:ascii="Calibri" w:hAnsi="Calibri" w:cs="Calibri"/>
          <w:noProof/>
          <w:kern w:val="0"/>
          <w:sz w:val="24"/>
          <w:szCs w:val="24"/>
          <w:lang w:val="de-DE"/>
        </w:rPr>
        <w:t>, F1292–F1298.</w:t>
      </w:r>
    </w:p>
    <w:p w14:paraId="152DEEC4" w14:textId="77777777" w:rsidR="00504AA0" w:rsidRPr="00E615B2"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rPr>
      </w:pPr>
      <w:r w:rsidRPr="00E615B2">
        <w:rPr>
          <w:rFonts w:ascii="Calibri" w:hAnsi="Calibri" w:cs="Calibri"/>
          <w:noProof/>
          <w:kern w:val="0"/>
          <w:sz w:val="24"/>
          <w:szCs w:val="24"/>
          <w:lang w:val="de-DE"/>
        </w:rPr>
        <w:t>12</w:t>
      </w:r>
      <w:r w:rsidRPr="00E615B2">
        <w:rPr>
          <w:rFonts w:ascii="Calibri" w:hAnsi="Calibri" w:cs="Calibri"/>
          <w:noProof/>
          <w:kern w:val="0"/>
          <w:sz w:val="24"/>
          <w:szCs w:val="24"/>
          <w:lang w:val="de-DE"/>
        </w:rPr>
        <w:tab/>
        <w:t xml:space="preserve">P. Connor, J. Schuch, B. Kaiser and W. Jaegermann, </w:t>
      </w:r>
      <w:r w:rsidRPr="00E615B2">
        <w:rPr>
          <w:rFonts w:ascii="Calibri" w:hAnsi="Calibri" w:cs="Calibri"/>
          <w:i/>
          <w:iCs/>
          <w:noProof/>
          <w:kern w:val="0"/>
          <w:sz w:val="24"/>
          <w:szCs w:val="24"/>
          <w:lang w:val="de-DE"/>
        </w:rPr>
        <w:t xml:space="preserve">Zeitschrift fur Phys. </w:t>
      </w:r>
      <w:r w:rsidRPr="00E615B2">
        <w:rPr>
          <w:rFonts w:ascii="Calibri" w:hAnsi="Calibri" w:cs="Calibri"/>
          <w:i/>
          <w:iCs/>
          <w:noProof/>
          <w:kern w:val="0"/>
          <w:sz w:val="24"/>
          <w:szCs w:val="24"/>
        </w:rPr>
        <w:t>Chemie</w:t>
      </w:r>
      <w:r w:rsidRPr="00E615B2">
        <w:rPr>
          <w:rFonts w:ascii="Calibri" w:hAnsi="Calibri" w:cs="Calibri"/>
          <w:noProof/>
          <w:kern w:val="0"/>
          <w:sz w:val="24"/>
          <w:szCs w:val="24"/>
        </w:rPr>
        <w:t xml:space="preserve">, 2020, </w:t>
      </w:r>
      <w:r w:rsidRPr="00E615B2">
        <w:rPr>
          <w:rFonts w:ascii="Calibri" w:hAnsi="Calibri" w:cs="Calibri"/>
          <w:b/>
          <w:bCs/>
          <w:noProof/>
          <w:kern w:val="0"/>
          <w:sz w:val="24"/>
          <w:szCs w:val="24"/>
        </w:rPr>
        <w:t>234</w:t>
      </w:r>
      <w:r w:rsidRPr="00E615B2">
        <w:rPr>
          <w:rFonts w:ascii="Calibri" w:hAnsi="Calibri" w:cs="Calibri"/>
          <w:noProof/>
          <w:kern w:val="0"/>
          <w:sz w:val="24"/>
          <w:szCs w:val="24"/>
        </w:rPr>
        <w:t>, 979–994.</w:t>
      </w:r>
    </w:p>
    <w:p w14:paraId="45AAD08F" w14:textId="77777777" w:rsidR="0047009E" w:rsidRPr="00372440" w:rsidRDefault="00504AA0" w:rsidP="0047009E">
      <w:pPr>
        <w:widowControl w:val="0"/>
        <w:autoSpaceDE w:val="0"/>
        <w:autoSpaceDN w:val="0"/>
        <w:adjustRightInd w:val="0"/>
        <w:spacing w:line="240" w:lineRule="auto"/>
        <w:ind w:left="640" w:hanging="640"/>
        <w:jc w:val="both"/>
        <w:rPr>
          <w:rFonts w:ascii="Calibri" w:hAnsi="Calibri" w:cs="Calibri"/>
          <w:noProof/>
          <w:kern w:val="0"/>
          <w:sz w:val="24"/>
          <w:szCs w:val="24"/>
        </w:rPr>
      </w:pPr>
      <w:r w:rsidRPr="00E615B2">
        <w:rPr>
          <w:rFonts w:ascii="Calibri" w:hAnsi="Calibri" w:cs="Calibri"/>
          <w:noProof/>
          <w:kern w:val="0"/>
          <w:sz w:val="24"/>
          <w:szCs w:val="24"/>
        </w:rPr>
        <w:t>13</w:t>
      </w:r>
      <w:r w:rsidRPr="00E615B2">
        <w:rPr>
          <w:rFonts w:ascii="Calibri" w:hAnsi="Calibri" w:cs="Calibri"/>
          <w:noProof/>
          <w:kern w:val="0"/>
          <w:sz w:val="24"/>
          <w:szCs w:val="24"/>
        </w:rPr>
        <w:tab/>
      </w:r>
      <w:r w:rsidR="0047009E" w:rsidRPr="00E615B2">
        <w:rPr>
          <w:rFonts w:ascii="Calibri" w:hAnsi="Calibri" w:cs="Calibri"/>
          <w:noProof/>
          <w:kern w:val="0"/>
          <w:sz w:val="24"/>
          <w:szCs w:val="24"/>
        </w:rPr>
        <w:t>S. Popescu, C. Ungureanu, A. Albu,</w:t>
      </w:r>
      <w:r w:rsidR="0047009E" w:rsidRPr="00372440">
        <w:rPr>
          <w:rFonts w:ascii="Calibri" w:hAnsi="Calibri" w:cs="Calibri"/>
          <w:noProof/>
          <w:kern w:val="0"/>
          <w:sz w:val="24"/>
          <w:szCs w:val="24"/>
        </w:rPr>
        <w:t xml:space="preserve"> C. Pirvu, </w:t>
      </w:r>
      <w:r w:rsidR="0047009E" w:rsidRPr="00372440">
        <w:rPr>
          <w:rFonts w:ascii="Calibri" w:hAnsi="Calibri" w:cs="Calibri"/>
          <w:i/>
          <w:iCs/>
          <w:noProof/>
          <w:kern w:val="0"/>
          <w:sz w:val="24"/>
          <w:szCs w:val="24"/>
        </w:rPr>
        <w:t>Progress in Organic Coatings,</w:t>
      </w:r>
      <w:r w:rsidR="0047009E" w:rsidRPr="00372440">
        <w:rPr>
          <w:rFonts w:ascii="Calibri" w:hAnsi="Calibri" w:cs="Calibri"/>
          <w:noProof/>
          <w:kern w:val="0"/>
          <w:sz w:val="24"/>
          <w:szCs w:val="24"/>
        </w:rPr>
        <w:t xml:space="preserve"> (2014), </w:t>
      </w:r>
      <w:r w:rsidR="0047009E" w:rsidRPr="00372440">
        <w:rPr>
          <w:rFonts w:ascii="Calibri" w:hAnsi="Calibri" w:cs="Calibri"/>
          <w:b/>
          <w:bCs/>
          <w:noProof/>
          <w:kern w:val="0"/>
          <w:sz w:val="24"/>
          <w:szCs w:val="24"/>
        </w:rPr>
        <w:t>77</w:t>
      </w:r>
      <w:r w:rsidR="0047009E" w:rsidRPr="00372440">
        <w:rPr>
          <w:rFonts w:ascii="Calibri" w:hAnsi="Calibri" w:cs="Calibri"/>
          <w:noProof/>
          <w:kern w:val="0"/>
          <w:sz w:val="24"/>
          <w:szCs w:val="24"/>
        </w:rPr>
        <w:t>, 1890–1900.</w:t>
      </w:r>
    </w:p>
    <w:p w14:paraId="52ADBAB8" w14:textId="450FE700" w:rsidR="00504AA0" w:rsidRPr="0037244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rPr>
      </w:pPr>
      <w:r w:rsidRPr="00372440">
        <w:rPr>
          <w:rFonts w:ascii="Calibri" w:hAnsi="Calibri" w:cs="Calibri"/>
          <w:noProof/>
          <w:kern w:val="0"/>
          <w:sz w:val="24"/>
          <w:szCs w:val="24"/>
        </w:rPr>
        <w:t>14</w:t>
      </w:r>
      <w:r w:rsidRPr="00372440">
        <w:rPr>
          <w:rFonts w:ascii="Calibri" w:hAnsi="Calibri" w:cs="Calibri"/>
          <w:noProof/>
          <w:kern w:val="0"/>
          <w:sz w:val="24"/>
          <w:szCs w:val="24"/>
        </w:rPr>
        <w:tab/>
        <w:t xml:space="preserve">M. R. Jakeria, R. J. Toh, X. B. Chen and I. S. Cole, </w:t>
      </w:r>
      <w:r w:rsidRPr="00372440">
        <w:rPr>
          <w:rFonts w:ascii="Calibri" w:hAnsi="Calibri" w:cs="Calibri"/>
          <w:i/>
          <w:iCs/>
          <w:noProof/>
          <w:kern w:val="0"/>
          <w:sz w:val="24"/>
          <w:szCs w:val="24"/>
        </w:rPr>
        <w:t>J. Appl. Electrochem.</w:t>
      </w:r>
      <w:r w:rsidRPr="00372440">
        <w:rPr>
          <w:rFonts w:ascii="Calibri" w:hAnsi="Calibri" w:cs="Calibri"/>
          <w:noProof/>
          <w:kern w:val="0"/>
          <w:sz w:val="24"/>
          <w:szCs w:val="24"/>
        </w:rPr>
        <w:t xml:space="preserve">, 2022, </w:t>
      </w:r>
      <w:r w:rsidRPr="00372440">
        <w:rPr>
          <w:rFonts w:ascii="Calibri" w:hAnsi="Calibri" w:cs="Calibri"/>
          <w:b/>
          <w:bCs/>
          <w:noProof/>
          <w:kern w:val="0"/>
          <w:sz w:val="24"/>
          <w:szCs w:val="24"/>
        </w:rPr>
        <w:t>52</w:t>
      </w:r>
      <w:r w:rsidRPr="00372440">
        <w:rPr>
          <w:rFonts w:ascii="Calibri" w:hAnsi="Calibri" w:cs="Calibri"/>
          <w:noProof/>
          <w:kern w:val="0"/>
          <w:sz w:val="24"/>
          <w:szCs w:val="24"/>
        </w:rPr>
        <w:t>, 1021–1044.</w:t>
      </w:r>
    </w:p>
    <w:p w14:paraId="6DE11130" w14:textId="2C9A75A6" w:rsidR="00504AA0" w:rsidRPr="00372440" w:rsidRDefault="00504AA0" w:rsidP="00504AA0">
      <w:pPr>
        <w:widowControl w:val="0"/>
        <w:autoSpaceDE w:val="0"/>
        <w:autoSpaceDN w:val="0"/>
        <w:adjustRightInd w:val="0"/>
        <w:spacing w:line="240" w:lineRule="auto"/>
        <w:ind w:left="640" w:hanging="640"/>
        <w:jc w:val="both"/>
        <w:rPr>
          <w:rFonts w:ascii="Calibri" w:hAnsi="Calibri" w:cs="Calibri"/>
          <w:noProof/>
          <w:kern w:val="0"/>
          <w:sz w:val="24"/>
          <w:szCs w:val="24"/>
        </w:rPr>
      </w:pPr>
      <w:r w:rsidRPr="00372440">
        <w:rPr>
          <w:rFonts w:ascii="Calibri" w:hAnsi="Calibri" w:cs="Calibri"/>
          <w:noProof/>
          <w:kern w:val="0"/>
          <w:sz w:val="24"/>
          <w:szCs w:val="24"/>
        </w:rPr>
        <w:t>15</w:t>
      </w:r>
      <w:r w:rsidRPr="00372440">
        <w:rPr>
          <w:rFonts w:ascii="Calibri" w:hAnsi="Calibri" w:cs="Calibri"/>
          <w:noProof/>
          <w:kern w:val="0"/>
          <w:sz w:val="24"/>
          <w:szCs w:val="24"/>
        </w:rPr>
        <w:tab/>
      </w:r>
      <w:r w:rsidR="0047009E" w:rsidRPr="00372440">
        <w:rPr>
          <w:rFonts w:ascii="Calibri" w:hAnsi="Calibri" w:cs="Calibri"/>
          <w:noProof/>
          <w:kern w:val="0"/>
          <w:sz w:val="24"/>
          <w:szCs w:val="24"/>
        </w:rPr>
        <w:t xml:space="preserve">A. Faqeeh, M. D. Symes, </w:t>
      </w:r>
      <w:r w:rsidR="0047009E" w:rsidRPr="00372440">
        <w:rPr>
          <w:rFonts w:ascii="Calibri" w:hAnsi="Calibri" w:cs="Calibri"/>
          <w:i/>
          <w:iCs/>
          <w:noProof/>
          <w:kern w:val="0"/>
          <w:sz w:val="24"/>
          <w:szCs w:val="24"/>
        </w:rPr>
        <w:t>Electrochimica Acta</w:t>
      </w:r>
      <w:r w:rsidR="0047009E" w:rsidRPr="00372440">
        <w:rPr>
          <w:rFonts w:ascii="Calibri" w:hAnsi="Calibri" w:cs="Calibri"/>
          <w:noProof/>
          <w:kern w:val="0"/>
          <w:sz w:val="24"/>
          <w:szCs w:val="24"/>
        </w:rPr>
        <w:t xml:space="preserve">, </w:t>
      </w:r>
      <w:r w:rsidR="0047009E" w:rsidRPr="00372440">
        <w:rPr>
          <w:rFonts w:ascii="Calibri" w:hAnsi="Calibri" w:cs="Calibri"/>
          <w:b/>
          <w:bCs/>
          <w:noProof/>
          <w:kern w:val="0"/>
          <w:sz w:val="24"/>
          <w:szCs w:val="24"/>
        </w:rPr>
        <w:t>444</w:t>
      </w:r>
      <w:r w:rsidR="0047009E" w:rsidRPr="00372440">
        <w:rPr>
          <w:rFonts w:ascii="Calibri" w:hAnsi="Calibri" w:cs="Calibri"/>
          <w:noProof/>
          <w:kern w:val="0"/>
          <w:sz w:val="24"/>
          <w:szCs w:val="24"/>
        </w:rPr>
        <w:t>, (2023) 142030.</w:t>
      </w:r>
    </w:p>
    <w:p w14:paraId="58265759" w14:textId="77777777" w:rsidR="0047009E" w:rsidRPr="00372440" w:rsidRDefault="00504AA0" w:rsidP="0047009E">
      <w:pPr>
        <w:widowControl w:val="0"/>
        <w:autoSpaceDE w:val="0"/>
        <w:autoSpaceDN w:val="0"/>
        <w:adjustRightInd w:val="0"/>
        <w:spacing w:line="240" w:lineRule="auto"/>
        <w:ind w:left="640" w:hanging="640"/>
        <w:jc w:val="both"/>
        <w:rPr>
          <w:rFonts w:ascii="Calibri" w:hAnsi="Calibri" w:cs="Calibri"/>
          <w:noProof/>
          <w:kern w:val="0"/>
          <w:sz w:val="24"/>
          <w:szCs w:val="24"/>
        </w:rPr>
      </w:pPr>
      <w:r w:rsidRPr="00372440">
        <w:rPr>
          <w:rFonts w:ascii="Calibri" w:hAnsi="Calibri" w:cs="Calibri"/>
          <w:noProof/>
          <w:kern w:val="0"/>
          <w:sz w:val="24"/>
          <w:szCs w:val="24"/>
        </w:rPr>
        <w:t>16</w:t>
      </w:r>
      <w:r w:rsidRPr="00372440">
        <w:rPr>
          <w:rFonts w:ascii="Calibri" w:hAnsi="Calibri" w:cs="Calibri"/>
          <w:noProof/>
          <w:kern w:val="0"/>
          <w:sz w:val="24"/>
          <w:szCs w:val="24"/>
        </w:rPr>
        <w:tab/>
      </w:r>
      <w:r w:rsidR="0047009E" w:rsidRPr="00372440">
        <w:rPr>
          <w:rFonts w:ascii="Calibri" w:hAnsi="Calibri" w:cs="Calibri"/>
          <w:noProof/>
          <w:kern w:val="0"/>
          <w:sz w:val="24"/>
          <w:szCs w:val="24"/>
        </w:rPr>
        <w:t xml:space="preserve">M. Ghadirzadeh, K. Jafarzadeh, H. M. Abassi, S. M. Mirali, </w:t>
      </w:r>
      <w:hyperlink r:id="rId20" w:tooltip="Go to Materials Chemistry and Physics on ScienceDirect" w:history="1">
        <w:r w:rsidR="0047009E" w:rsidRPr="00372440">
          <w:rPr>
            <w:rStyle w:val="Hyperlink"/>
            <w:rFonts w:ascii="Calibri" w:hAnsi="Calibri" w:cs="Calibri"/>
            <w:i/>
            <w:iCs/>
            <w:noProof/>
            <w:color w:val="auto"/>
            <w:kern w:val="0"/>
            <w:sz w:val="24"/>
            <w:szCs w:val="24"/>
            <w:u w:val="none"/>
          </w:rPr>
          <w:t>Materials Chemistry and Physics</w:t>
        </w:r>
      </w:hyperlink>
      <w:r w:rsidR="0047009E" w:rsidRPr="00372440">
        <w:rPr>
          <w:rFonts w:ascii="Calibri" w:hAnsi="Calibri" w:cs="Calibri"/>
          <w:i/>
          <w:iCs/>
          <w:noProof/>
          <w:kern w:val="0"/>
          <w:sz w:val="24"/>
          <w:szCs w:val="24"/>
        </w:rPr>
        <w:t xml:space="preserve">, </w:t>
      </w:r>
      <w:r w:rsidR="0047009E" w:rsidRPr="00372440">
        <w:rPr>
          <w:rFonts w:ascii="Calibri" w:hAnsi="Calibri" w:cs="Calibri"/>
          <w:noProof/>
          <w:kern w:val="0"/>
          <w:sz w:val="24"/>
          <w:szCs w:val="24"/>
        </w:rPr>
        <w:t xml:space="preserve">2024, </w:t>
      </w:r>
      <w:hyperlink r:id="rId21" w:tooltip="Go to table of contents for this volume/issue" w:history="1">
        <w:r w:rsidR="0047009E" w:rsidRPr="00372440">
          <w:rPr>
            <w:rStyle w:val="Hyperlink"/>
            <w:rFonts w:ascii="Calibri" w:hAnsi="Calibri" w:cs="Calibri"/>
            <w:b/>
            <w:bCs/>
            <w:noProof/>
            <w:color w:val="auto"/>
            <w:kern w:val="0"/>
            <w:sz w:val="24"/>
            <w:szCs w:val="24"/>
            <w:u w:val="none"/>
          </w:rPr>
          <w:t>314</w:t>
        </w:r>
      </w:hyperlink>
      <w:r w:rsidR="0047009E" w:rsidRPr="00372440">
        <w:rPr>
          <w:rFonts w:ascii="Calibri" w:hAnsi="Calibri" w:cs="Calibri"/>
          <w:b/>
          <w:bCs/>
          <w:noProof/>
          <w:kern w:val="0"/>
          <w:sz w:val="24"/>
          <w:szCs w:val="24"/>
        </w:rPr>
        <w:t>, </w:t>
      </w:r>
      <w:r w:rsidR="0047009E" w:rsidRPr="00372440">
        <w:rPr>
          <w:rFonts w:ascii="Calibri" w:hAnsi="Calibri" w:cs="Calibri"/>
          <w:noProof/>
          <w:kern w:val="0"/>
          <w:sz w:val="24"/>
          <w:szCs w:val="24"/>
        </w:rPr>
        <w:t>128782.</w:t>
      </w:r>
    </w:p>
    <w:p w14:paraId="0D04E259" w14:textId="51F1DEA7" w:rsidR="00504AA0" w:rsidRPr="00372440" w:rsidRDefault="00504AA0" w:rsidP="00504AA0">
      <w:pPr>
        <w:widowControl w:val="0"/>
        <w:autoSpaceDE w:val="0"/>
        <w:autoSpaceDN w:val="0"/>
        <w:adjustRightInd w:val="0"/>
        <w:spacing w:line="240" w:lineRule="auto"/>
        <w:ind w:left="640" w:hanging="640"/>
        <w:jc w:val="both"/>
        <w:rPr>
          <w:rFonts w:ascii="Calibri" w:hAnsi="Calibri" w:cs="Calibri"/>
          <w:noProof/>
          <w:sz w:val="24"/>
          <w:szCs w:val="24"/>
        </w:rPr>
      </w:pPr>
      <w:r w:rsidRPr="00FE5C80">
        <w:rPr>
          <w:rFonts w:ascii="Calibri" w:hAnsi="Calibri" w:cs="Calibri"/>
          <w:noProof/>
          <w:kern w:val="0"/>
          <w:sz w:val="24"/>
          <w:szCs w:val="24"/>
          <w:lang w:val="pt-BR"/>
        </w:rPr>
        <w:t>17</w:t>
      </w:r>
      <w:r w:rsidRPr="00FE5C80">
        <w:rPr>
          <w:rFonts w:ascii="Calibri" w:hAnsi="Calibri" w:cs="Calibri"/>
          <w:noProof/>
          <w:kern w:val="0"/>
          <w:sz w:val="24"/>
          <w:szCs w:val="24"/>
          <w:lang w:val="pt-BR"/>
        </w:rPr>
        <w:tab/>
        <w:t xml:space="preserve">A. C. Alves, F. Wenger, P. Ponthiaux, J. P. Celis, A. M. Pinto, L. A. Rocha and J. C. S. Fernandes, </w:t>
      </w:r>
      <w:r w:rsidRPr="00FE5C80">
        <w:rPr>
          <w:rFonts w:ascii="Calibri" w:hAnsi="Calibri" w:cs="Calibri"/>
          <w:i/>
          <w:iCs/>
          <w:noProof/>
          <w:kern w:val="0"/>
          <w:sz w:val="24"/>
          <w:szCs w:val="24"/>
          <w:lang w:val="pt-BR"/>
        </w:rPr>
        <w:t xml:space="preserve">Electrochim. </w:t>
      </w:r>
      <w:r w:rsidRPr="00372440">
        <w:rPr>
          <w:rFonts w:ascii="Calibri" w:hAnsi="Calibri" w:cs="Calibri"/>
          <w:i/>
          <w:iCs/>
          <w:noProof/>
          <w:kern w:val="0"/>
          <w:sz w:val="24"/>
          <w:szCs w:val="24"/>
        </w:rPr>
        <w:t>Acta</w:t>
      </w:r>
      <w:r w:rsidRPr="00372440">
        <w:rPr>
          <w:rFonts w:ascii="Calibri" w:hAnsi="Calibri" w:cs="Calibri"/>
          <w:noProof/>
          <w:kern w:val="0"/>
          <w:sz w:val="24"/>
          <w:szCs w:val="24"/>
        </w:rPr>
        <w:t xml:space="preserve">, 2017, </w:t>
      </w:r>
      <w:r w:rsidRPr="00372440">
        <w:rPr>
          <w:rFonts w:ascii="Calibri" w:hAnsi="Calibri" w:cs="Calibri"/>
          <w:b/>
          <w:bCs/>
          <w:noProof/>
          <w:kern w:val="0"/>
          <w:sz w:val="24"/>
          <w:szCs w:val="24"/>
        </w:rPr>
        <w:t>234</w:t>
      </w:r>
      <w:r w:rsidRPr="00372440">
        <w:rPr>
          <w:rFonts w:ascii="Calibri" w:hAnsi="Calibri" w:cs="Calibri"/>
          <w:noProof/>
          <w:kern w:val="0"/>
          <w:sz w:val="24"/>
          <w:szCs w:val="24"/>
        </w:rPr>
        <w:t>, 16–27.</w:t>
      </w:r>
    </w:p>
    <w:p w14:paraId="6819B6CC" w14:textId="27DF8901" w:rsidR="009D7F71" w:rsidRPr="0005522B" w:rsidRDefault="00504AA0" w:rsidP="00504AA0">
      <w:pPr>
        <w:spacing w:line="276" w:lineRule="auto"/>
        <w:jc w:val="both"/>
      </w:pPr>
      <w:r w:rsidRPr="00372440">
        <w:rPr>
          <w:rFonts w:ascii="Calibri" w:hAnsi="Calibri" w:cs="Calibri"/>
          <w:sz w:val="24"/>
          <w:szCs w:val="24"/>
        </w:rPr>
        <w:fldChar w:fldCharType="end"/>
      </w:r>
    </w:p>
    <w:sectPr w:rsidR="009D7F71" w:rsidRPr="0005522B">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D5A1A" w14:textId="77777777" w:rsidR="00F91EC5" w:rsidRDefault="00F91EC5" w:rsidP="00504AA0">
      <w:pPr>
        <w:spacing w:after="0" w:line="240" w:lineRule="auto"/>
      </w:pPr>
      <w:r>
        <w:separator/>
      </w:r>
    </w:p>
  </w:endnote>
  <w:endnote w:type="continuationSeparator" w:id="0">
    <w:p w14:paraId="3AE039DF" w14:textId="77777777" w:rsidR="00F91EC5" w:rsidRDefault="00F91EC5" w:rsidP="00504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4635046"/>
      <w:docPartObj>
        <w:docPartGallery w:val="Page Numbers (Bottom of Page)"/>
        <w:docPartUnique/>
      </w:docPartObj>
    </w:sdtPr>
    <w:sdtEndPr>
      <w:rPr>
        <w:noProof/>
      </w:rPr>
    </w:sdtEndPr>
    <w:sdtContent>
      <w:p w14:paraId="650EE364" w14:textId="30D7083E" w:rsidR="00504AA0" w:rsidRDefault="00692012">
        <w:pPr>
          <w:pStyle w:val="Footer"/>
          <w:jc w:val="right"/>
        </w:pPr>
        <w:r>
          <w:fldChar w:fldCharType="begin"/>
        </w:r>
        <w:r>
          <w:instrText xml:space="preserve"> PAGE S1 </w:instrText>
        </w:r>
        <w:r>
          <w:fldChar w:fldCharType="separate"/>
        </w:r>
        <w:r>
          <w:rPr>
            <w:noProof/>
          </w:rPr>
          <w:t>1</w:t>
        </w:r>
        <w:r>
          <w:fldChar w:fldCharType="end"/>
        </w:r>
      </w:p>
    </w:sdtContent>
  </w:sdt>
  <w:p w14:paraId="0935DAAB" w14:textId="77777777" w:rsidR="00504AA0" w:rsidRDefault="00504A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25539" w14:textId="77777777" w:rsidR="00F91EC5" w:rsidRDefault="00F91EC5" w:rsidP="00504AA0">
      <w:pPr>
        <w:spacing w:after="0" w:line="240" w:lineRule="auto"/>
      </w:pPr>
      <w:r>
        <w:separator/>
      </w:r>
    </w:p>
  </w:footnote>
  <w:footnote w:type="continuationSeparator" w:id="0">
    <w:p w14:paraId="2000C497" w14:textId="77777777" w:rsidR="00F91EC5" w:rsidRDefault="00F91EC5" w:rsidP="00504A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wNDYwNzazNDYxNLdQ0lEKTi0uzszPAykwqgUAd8A7oiwAAAA="/>
  </w:docVars>
  <w:rsids>
    <w:rsidRoot w:val="00296FD0"/>
    <w:rsid w:val="000230AA"/>
    <w:rsid w:val="0003209D"/>
    <w:rsid w:val="00032175"/>
    <w:rsid w:val="00047F12"/>
    <w:rsid w:val="0005522B"/>
    <w:rsid w:val="00115696"/>
    <w:rsid w:val="00116CC5"/>
    <w:rsid w:val="001177D9"/>
    <w:rsid w:val="001242B0"/>
    <w:rsid w:val="00127C02"/>
    <w:rsid w:val="001379F9"/>
    <w:rsid w:val="00142A22"/>
    <w:rsid w:val="001C0C2E"/>
    <w:rsid w:val="001C0F17"/>
    <w:rsid w:val="001F219E"/>
    <w:rsid w:val="00214209"/>
    <w:rsid w:val="0021775D"/>
    <w:rsid w:val="00233D34"/>
    <w:rsid w:val="00243E09"/>
    <w:rsid w:val="0027514F"/>
    <w:rsid w:val="00280651"/>
    <w:rsid w:val="00296FD0"/>
    <w:rsid w:val="002A7AA9"/>
    <w:rsid w:val="002B7930"/>
    <w:rsid w:val="00317645"/>
    <w:rsid w:val="00341ED1"/>
    <w:rsid w:val="00362ACD"/>
    <w:rsid w:val="00372440"/>
    <w:rsid w:val="00375EBC"/>
    <w:rsid w:val="0039580A"/>
    <w:rsid w:val="003A48F2"/>
    <w:rsid w:val="003B6E40"/>
    <w:rsid w:val="004267C5"/>
    <w:rsid w:val="004624C0"/>
    <w:rsid w:val="0047009E"/>
    <w:rsid w:val="00474E35"/>
    <w:rsid w:val="004A10A6"/>
    <w:rsid w:val="004C17CA"/>
    <w:rsid w:val="004E34B0"/>
    <w:rsid w:val="004F225E"/>
    <w:rsid w:val="00504AA0"/>
    <w:rsid w:val="00505C96"/>
    <w:rsid w:val="005733E9"/>
    <w:rsid w:val="005F0247"/>
    <w:rsid w:val="00601ED6"/>
    <w:rsid w:val="00623EFF"/>
    <w:rsid w:val="00646D2D"/>
    <w:rsid w:val="006544F6"/>
    <w:rsid w:val="00692012"/>
    <w:rsid w:val="006C07D1"/>
    <w:rsid w:val="006E67BB"/>
    <w:rsid w:val="007744F4"/>
    <w:rsid w:val="007B26F4"/>
    <w:rsid w:val="007C637C"/>
    <w:rsid w:val="00843DEE"/>
    <w:rsid w:val="008440E7"/>
    <w:rsid w:val="00847319"/>
    <w:rsid w:val="008A694A"/>
    <w:rsid w:val="0090186C"/>
    <w:rsid w:val="0092370B"/>
    <w:rsid w:val="00970380"/>
    <w:rsid w:val="00992A79"/>
    <w:rsid w:val="009D2871"/>
    <w:rsid w:val="009D7F71"/>
    <w:rsid w:val="00A405A5"/>
    <w:rsid w:val="00A61A9F"/>
    <w:rsid w:val="00A74366"/>
    <w:rsid w:val="00A804AD"/>
    <w:rsid w:val="00AC513A"/>
    <w:rsid w:val="00B07464"/>
    <w:rsid w:val="00B16A7A"/>
    <w:rsid w:val="00BA1743"/>
    <w:rsid w:val="00BA5041"/>
    <w:rsid w:val="00BA7963"/>
    <w:rsid w:val="00C0139F"/>
    <w:rsid w:val="00C05776"/>
    <w:rsid w:val="00C065B3"/>
    <w:rsid w:val="00C734A8"/>
    <w:rsid w:val="00CA5634"/>
    <w:rsid w:val="00CB7DF6"/>
    <w:rsid w:val="00D212C7"/>
    <w:rsid w:val="00D90D1A"/>
    <w:rsid w:val="00DB379C"/>
    <w:rsid w:val="00E36713"/>
    <w:rsid w:val="00E615B2"/>
    <w:rsid w:val="00F4012F"/>
    <w:rsid w:val="00F579F1"/>
    <w:rsid w:val="00F91EC5"/>
    <w:rsid w:val="00F97D5F"/>
    <w:rsid w:val="00FE5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342594D"/>
  <w15:chartTrackingRefBased/>
  <w15:docId w15:val="{67B77F11-B531-4118-8035-8DEB41F3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CC5"/>
    <w:rPr>
      <w:rFonts w:eastAsiaTheme="minorEastAsia"/>
      <w:lang w:eastAsia="zh-CN"/>
    </w:rPr>
  </w:style>
  <w:style w:type="paragraph" w:styleId="Heading1">
    <w:name w:val="heading 1"/>
    <w:basedOn w:val="Normal"/>
    <w:next w:val="Normal"/>
    <w:link w:val="Heading1Char"/>
    <w:uiPriority w:val="9"/>
    <w:qFormat/>
    <w:rsid w:val="00992A79"/>
    <w:pPr>
      <w:keepNext/>
      <w:keepLines/>
      <w:spacing w:before="360" w:after="120"/>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semiHidden/>
    <w:unhideWhenUsed/>
    <w:qFormat/>
    <w:rsid w:val="00296F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6F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6F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6F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6F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F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F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F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A79"/>
    <w:rPr>
      <w:rFonts w:ascii="Calibri" w:eastAsiaTheme="majorEastAsia" w:hAnsi="Calibri" w:cstheme="majorBidi"/>
      <w:b/>
      <w:sz w:val="24"/>
      <w:szCs w:val="32"/>
      <w:lang w:eastAsia="zh-CN"/>
    </w:rPr>
  </w:style>
  <w:style w:type="character" w:customStyle="1" w:styleId="Heading2Char">
    <w:name w:val="Heading 2 Char"/>
    <w:basedOn w:val="DefaultParagraphFont"/>
    <w:link w:val="Heading2"/>
    <w:uiPriority w:val="9"/>
    <w:semiHidden/>
    <w:rsid w:val="00296F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6F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6F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6F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6F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F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F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FD0"/>
    <w:rPr>
      <w:rFonts w:eastAsiaTheme="majorEastAsia" w:cstheme="majorBidi"/>
      <w:color w:val="272727" w:themeColor="text1" w:themeTint="D8"/>
    </w:rPr>
  </w:style>
  <w:style w:type="paragraph" w:styleId="Title">
    <w:name w:val="Title"/>
    <w:basedOn w:val="Normal"/>
    <w:next w:val="Normal"/>
    <w:link w:val="TitleChar"/>
    <w:uiPriority w:val="10"/>
    <w:qFormat/>
    <w:rsid w:val="00296F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F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F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F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FD0"/>
    <w:pPr>
      <w:spacing w:before="160"/>
      <w:jc w:val="center"/>
    </w:pPr>
    <w:rPr>
      <w:i/>
      <w:iCs/>
      <w:color w:val="404040" w:themeColor="text1" w:themeTint="BF"/>
    </w:rPr>
  </w:style>
  <w:style w:type="character" w:customStyle="1" w:styleId="QuoteChar">
    <w:name w:val="Quote Char"/>
    <w:basedOn w:val="DefaultParagraphFont"/>
    <w:link w:val="Quote"/>
    <w:uiPriority w:val="29"/>
    <w:rsid w:val="00296FD0"/>
    <w:rPr>
      <w:i/>
      <w:iCs/>
      <w:color w:val="404040" w:themeColor="text1" w:themeTint="BF"/>
    </w:rPr>
  </w:style>
  <w:style w:type="paragraph" w:styleId="ListParagraph">
    <w:name w:val="List Paragraph"/>
    <w:basedOn w:val="Normal"/>
    <w:uiPriority w:val="34"/>
    <w:qFormat/>
    <w:rsid w:val="00296FD0"/>
    <w:pPr>
      <w:ind w:left="720"/>
      <w:contextualSpacing/>
    </w:pPr>
  </w:style>
  <w:style w:type="character" w:styleId="IntenseEmphasis">
    <w:name w:val="Intense Emphasis"/>
    <w:basedOn w:val="DefaultParagraphFont"/>
    <w:uiPriority w:val="21"/>
    <w:qFormat/>
    <w:rsid w:val="00296FD0"/>
    <w:rPr>
      <w:i/>
      <w:iCs/>
      <w:color w:val="0F4761" w:themeColor="accent1" w:themeShade="BF"/>
    </w:rPr>
  </w:style>
  <w:style w:type="paragraph" w:styleId="IntenseQuote">
    <w:name w:val="Intense Quote"/>
    <w:basedOn w:val="Normal"/>
    <w:next w:val="Normal"/>
    <w:link w:val="IntenseQuoteChar"/>
    <w:uiPriority w:val="30"/>
    <w:qFormat/>
    <w:rsid w:val="00296F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6FD0"/>
    <w:rPr>
      <w:i/>
      <w:iCs/>
      <w:color w:val="0F4761" w:themeColor="accent1" w:themeShade="BF"/>
    </w:rPr>
  </w:style>
  <w:style w:type="character" w:styleId="IntenseReference">
    <w:name w:val="Intense Reference"/>
    <w:basedOn w:val="DefaultParagraphFont"/>
    <w:uiPriority w:val="32"/>
    <w:qFormat/>
    <w:rsid w:val="00296FD0"/>
    <w:rPr>
      <w:b/>
      <w:bCs/>
      <w:smallCaps/>
      <w:color w:val="0F4761" w:themeColor="accent1" w:themeShade="BF"/>
      <w:spacing w:val="5"/>
    </w:rPr>
  </w:style>
  <w:style w:type="character" w:styleId="Hyperlink">
    <w:name w:val="Hyperlink"/>
    <w:basedOn w:val="DefaultParagraphFont"/>
    <w:uiPriority w:val="99"/>
    <w:unhideWhenUsed/>
    <w:rsid w:val="00296FD0"/>
    <w:rPr>
      <w:color w:val="467886" w:themeColor="hyperlink"/>
      <w:u w:val="single"/>
    </w:rPr>
  </w:style>
  <w:style w:type="paragraph" w:styleId="NoSpacing">
    <w:name w:val="No Spacing"/>
    <w:uiPriority w:val="1"/>
    <w:qFormat/>
    <w:rsid w:val="00296FD0"/>
    <w:pPr>
      <w:spacing w:after="0" w:line="240" w:lineRule="auto"/>
    </w:pPr>
    <w:rPr>
      <w:rFonts w:eastAsiaTheme="minorEastAsia"/>
      <w:lang w:eastAsia="zh-CN"/>
    </w:rPr>
  </w:style>
  <w:style w:type="paragraph" w:styleId="Caption">
    <w:name w:val="caption"/>
    <w:basedOn w:val="Normal"/>
    <w:next w:val="Normal"/>
    <w:uiPriority w:val="35"/>
    <w:unhideWhenUsed/>
    <w:qFormat/>
    <w:rsid w:val="00505C96"/>
    <w:pPr>
      <w:spacing w:after="200" w:line="240" w:lineRule="auto"/>
    </w:pPr>
    <w:rPr>
      <w:i/>
      <w:iCs/>
      <w:color w:val="0E2841" w:themeColor="text2"/>
      <w:sz w:val="18"/>
      <w:szCs w:val="18"/>
    </w:rPr>
  </w:style>
  <w:style w:type="table" w:styleId="TableGrid">
    <w:name w:val="Table Grid"/>
    <w:basedOn w:val="TableNormal"/>
    <w:uiPriority w:val="39"/>
    <w:rsid w:val="005F0247"/>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3EFF"/>
    <w:rPr>
      <w:sz w:val="16"/>
      <w:szCs w:val="16"/>
    </w:rPr>
  </w:style>
  <w:style w:type="paragraph" w:styleId="CommentText">
    <w:name w:val="annotation text"/>
    <w:basedOn w:val="Normal"/>
    <w:link w:val="CommentTextChar"/>
    <w:uiPriority w:val="99"/>
    <w:unhideWhenUsed/>
    <w:rsid w:val="00623EFF"/>
    <w:pPr>
      <w:spacing w:line="240" w:lineRule="auto"/>
    </w:pPr>
    <w:rPr>
      <w:sz w:val="20"/>
      <w:szCs w:val="20"/>
    </w:rPr>
  </w:style>
  <w:style w:type="character" w:customStyle="1" w:styleId="CommentTextChar">
    <w:name w:val="Comment Text Char"/>
    <w:basedOn w:val="DefaultParagraphFont"/>
    <w:link w:val="CommentText"/>
    <w:uiPriority w:val="99"/>
    <w:rsid w:val="00623EFF"/>
    <w:rPr>
      <w:rFonts w:eastAsiaTheme="minorEastAsia"/>
      <w:sz w:val="20"/>
      <w:szCs w:val="20"/>
      <w:lang w:eastAsia="zh-CN"/>
    </w:rPr>
  </w:style>
  <w:style w:type="character" w:customStyle="1" w:styleId="cf01">
    <w:name w:val="cf01"/>
    <w:basedOn w:val="DefaultParagraphFont"/>
    <w:rsid w:val="00243E09"/>
    <w:rPr>
      <w:rFonts w:ascii="Segoe UI" w:hAnsi="Segoe UI" w:cs="Segoe UI" w:hint="default"/>
      <w:sz w:val="22"/>
      <w:szCs w:val="22"/>
    </w:rPr>
  </w:style>
  <w:style w:type="table" w:customStyle="1" w:styleId="TableGrid1">
    <w:name w:val="Table Grid1"/>
    <w:basedOn w:val="TableNormal"/>
    <w:next w:val="TableGrid"/>
    <w:uiPriority w:val="39"/>
    <w:rsid w:val="0005522B"/>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44F4"/>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4A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AA0"/>
    <w:rPr>
      <w:rFonts w:eastAsiaTheme="minorEastAsia"/>
      <w:lang w:eastAsia="zh-CN"/>
    </w:rPr>
  </w:style>
  <w:style w:type="paragraph" w:styleId="Footer">
    <w:name w:val="footer"/>
    <w:basedOn w:val="Normal"/>
    <w:link w:val="FooterChar"/>
    <w:uiPriority w:val="99"/>
    <w:unhideWhenUsed/>
    <w:rsid w:val="00504A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AA0"/>
    <w:rPr>
      <w:rFonts w:eastAsiaTheme="minorEastAsia"/>
      <w:lang w:eastAsia="zh-CN"/>
    </w:rPr>
  </w:style>
  <w:style w:type="character" w:styleId="UnresolvedMention">
    <w:name w:val="Unresolved Mention"/>
    <w:basedOn w:val="DefaultParagraphFont"/>
    <w:uiPriority w:val="99"/>
    <w:semiHidden/>
    <w:unhideWhenUsed/>
    <w:rsid w:val="0047009E"/>
    <w:rPr>
      <w:color w:val="605E5C"/>
      <w:shd w:val="clear" w:color="auto" w:fill="E1DFDD"/>
    </w:rPr>
  </w:style>
  <w:style w:type="paragraph" w:styleId="TOCHeading">
    <w:name w:val="TOC Heading"/>
    <w:basedOn w:val="Heading1"/>
    <w:next w:val="Normal"/>
    <w:uiPriority w:val="39"/>
    <w:unhideWhenUsed/>
    <w:qFormat/>
    <w:rsid w:val="00372440"/>
    <w:pPr>
      <w:spacing w:before="240" w:after="0"/>
      <w:outlineLvl w:val="9"/>
    </w:pPr>
    <w:rPr>
      <w:rFonts w:asciiTheme="majorHAnsi" w:hAnsiTheme="majorHAnsi"/>
      <w:b w:val="0"/>
      <w:color w:val="0F4761" w:themeColor="accent1" w:themeShade="BF"/>
      <w:kern w:val="0"/>
      <w:sz w:val="32"/>
      <w:lang w:val="en-US" w:eastAsia="en-US"/>
      <w14:ligatures w14:val="none"/>
    </w:rPr>
  </w:style>
  <w:style w:type="paragraph" w:styleId="TOC1">
    <w:name w:val="toc 1"/>
    <w:basedOn w:val="Normal"/>
    <w:next w:val="Normal"/>
    <w:autoRedefine/>
    <w:uiPriority w:val="39"/>
    <w:unhideWhenUsed/>
    <w:rsid w:val="00372440"/>
    <w:pPr>
      <w:spacing w:after="100"/>
    </w:pPr>
  </w:style>
  <w:style w:type="paragraph" w:styleId="TOC2">
    <w:name w:val="toc 2"/>
    <w:basedOn w:val="Normal"/>
    <w:next w:val="Normal"/>
    <w:autoRedefine/>
    <w:uiPriority w:val="39"/>
    <w:unhideWhenUsed/>
    <w:rsid w:val="00372440"/>
    <w:pPr>
      <w:spacing w:after="100"/>
      <w:ind w:left="220"/>
    </w:pPr>
  </w:style>
  <w:style w:type="paragraph" w:styleId="CommentSubject">
    <w:name w:val="annotation subject"/>
    <w:basedOn w:val="CommentText"/>
    <w:next w:val="CommentText"/>
    <w:link w:val="CommentSubjectChar"/>
    <w:uiPriority w:val="99"/>
    <w:semiHidden/>
    <w:unhideWhenUsed/>
    <w:rsid w:val="00FE5C80"/>
    <w:rPr>
      <w:b/>
      <w:bCs/>
    </w:rPr>
  </w:style>
  <w:style w:type="character" w:customStyle="1" w:styleId="CommentSubjectChar">
    <w:name w:val="Comment Subject Char"/>
    <w:basedOn w:val="CommentTextChar"/>
    <w:link w:val="CommentSubject"/>
    <w:uiPriority w:val="99"/>
    <w:semiHidden/>
    <w:rsid w:val="00FE5C80"/>
    <w:rPr>
      <w:rFonts w:eastAsiaTheme="minorEastAsia"/>
      <w:b/>
      <w:bCs/>
      <w:sz w:val="20"/>
      <w:szCs w:val="20"/>
      <w:lang w:eastAsia="zh-CN"/>
    </w:rPr>
  </w:style>
  <w:style w:type="paragraph" w:styleId="Revision">
    <w:name w:val="Revision"/>
    <w:hidden/>
    <w:uiPriority w:val="99"/>
    <w:semiHidden/>
    <w:rsid w:val="00CA5634"/>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sciencedirect.com/journal/materials-chemistry-and-physics/vol/314/suppl/C" TargetMode="External"/><Relationship Id="rId7" Type="http://schemas.openxmlformats.org/officeDocument/2006/relationships/hyperlink" Target="mailto:mark.symes@glasgow.ac.uk"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sciencedirect.com/journal/materials-chemistry-and-physic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78681-81D4-4D5C-99FF-851FBA8A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3207</Words>
  <Characters>62822</Characters>
  <Application>Microsoft Office Word</Application>
  <DocSecurity>0</DocSecurity>
  <Lines>523</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Halilu Sale (PGR)</dc:creator>
  <cp:keywords/>
  <dc:description/>
  <cp:lastModifiedBy>Mark Symes</cp:lastModifiedBy>
  <cp:revision>4</cp:revision>
  <dcterms:created xsi:type="dcterms:W3CDTF">2024-05-08T08:14:00Z</dcterms:created>
  <dcterms:modified xsi:type="dcterms:W3CDTF">2024-05-10T14:27:00Z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7dc21e45-0a1d-42b3-84fb-44886536a0c9</vt:lpwstr>
  </property>
  <property fmtid="{D5CDD505-2E9C-101B-9397-08002B2CF9AE}" pid="3" name="Mendeley Document_1">
    <vt:lpwstr>True</vt:lpwstr>
  </property>
  <property fmtid="{D5CDD505-2E9C-101B-9397-08002B2CF9AE}" pid="4" name="Mendeley Unique User Id_1">
    <vt:lpwstr>80a917ff-e5a6-3156-9d39-1d5303befaa9</vt:lpwstr>
  </property>
  <property fmtid="{D5CDD505-2E9C-101B-9397-08002B2CF9AE}" pid="5" name="Mendeley Citation Style_1">
    <vt:lpwstr>http://www.zotero.org/styles/royal-society-of-chemistry</vt:lpwstr>
  </property>
</Properties>
</file>