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7FB55" w14:textId="0030B652" w:rsidR="000B470A" w:rsidRPr="00031E4D" w:rsidRDefault="000B0E8E" w:rsidP="00DA5578">
      <w:pPr>
        <w:spacing w:before="240" w:after="240"/>
        <w:jc w:val="center"/>
        <w:rPr>
          <w:rFonts w:ascii="Calibri" w:eastAsia="Calibri" w:hAnsi="Calibri" w:cs="Times New Roman"/>
          <w:b/>
          <w:sz w:val="32"/>
          <w:lang w:eastAsia="en-US"/>
        </w:rPr>
      </w:pPr>
      <w:r>
        <w:rPr>
          <w:rFonts w:ascii="Calibri" w:eastAsia="Calibri" w:hAnsi="Calibri" w:cs="Times New Roman"/>
          <w:b/>
          <w:sz w:val="32"/>
          <w:lang w:eastAsia="en-US"/>
        </w:rPr>
        <w:t>Open Access Readme for:</w:t>
      </w:r>
    </w:p>
    <w:p w14:paraId="4F875FBC" w14:textId="77777777" w:rsidR="000B0E8E" w:rsidRPr="000B0E8E" w:rsidRDefault="000B0E8E" w:rsidP="000B0E8E">
      <w:pPr>
        <w:adjustRightInd w:val="0"/>
        <w:snapToGrid w:val="0"/>
        <w:spacing w:after="240" w:line="240" w:lineRule="atLeast"/>
        <w:rPr>
          <w:rFonts w:eastAsia="Times New Roman" w:cstheme="minorHAnsi"/>
          <w:b/>
          <w:snapToGrid w:val="0"/>
          <w:color w:val="000000"/>
          <w:sz w:val="36"/>
          <w:szCs w:val="20"/>
          <w:lang w:eastAsia="de-DE" w:bidi="en-US"/>
        </w:rPr>
      </w:pPr>
      <w:r w:rsidRPr="000B0E8E">
        <w:rPr>
          <w:rFonts w:eastAsia="Times New Roman" w:cstheme="minorHAnsi"/>
          <w:b/>
          <w:snapToGrid w:val="0"/>
          <w:color w:val="000000"/>
          <w:sz w:val="36"/>
          <w:szCs w:val="20"/>
          <w:lang w:eastAsia="de-DE" w:bidi="en-US"/>
        </w:rPr>
        <w:t xml:space="preserve">An Investigation of a (Vinylbenzyl) Trimethylammonium and </w:t>
      </w:r>
      <w:r w:rsidRPr="000B0E8E">
        <w:rPr>
          <w:rFonts w:eastAsia="Times New Roman" w:cstheme="minorHAnsi"/>
          <w:b/>
          <w:i/>
          <w:iCs/>
          <w:snapToGrid w:val="0"/>
          <w:color w:val="000000"/>
          <w:sz w:val="36"/>
          <w:szCs w:val="20"/>
          <w:lang w:eastAsia="de-DE" w:bidi="en-US"/>
        </w:rPr>
        <w:t>N</w:t>
      </w:r>
      <w:r w:rsidRPr="000B0E8E">
        <w:rPr>
          <w:rFonts w:eastAsia="Times New Roman" w:cstheme="minorHAnsi"/>
          <w:b/>
          <w:snapToGrid w:val="0"/>
          <w:color w:val="000000"/>
          <w:sz w:val="36"/>
          <w:szCs w:val="20"/>
          <w:lang w:eastAsia="de-DE" w:bidi="en-US"/>
        </w:rPr>
        <w:t xml:space="preserve">-Vinylimidazole-Substituted Poly (Vinylidene </w:t>
      </w:r>
      <w:r w:rsidRPr="000B0E8E">
        <w:rPr>
          <w:rFonts w:eastAsia="Times New Roman" w:cstheme="minorHAnsi"/>
          <w:b/>
          <w:snapToGrid w:val="0"/>
          <w:color w:val="000000"/>
          <w:sz w:val="36"/>
          <w:szCs w:val="20"/>
          <w:lang w:eastAsia="de-DE" w:bidi="en-US"/>
        </w:rPr>
        <w:br/>
        <w:t>Fluoride-Co-Hexafluoropropylene) Copolymer as an Anion-Exchange Membrane in a Lignin-Oxidising Electrolyser</w:t>
      </w:r>
    </w:p>
    <w:p w14:paraId="3AB87BD9" w14:textId="77777777" w:rsidR="000B0E8E" w:rsidRPr="000B0E8E" w:rsidRDefault="000B0E8E" w:rsidP="000B0E8E">
      <w:pPr>
        <w:adjustRightInd w:val="0"/>
        <w:snapToGrid w:val="0"/>
        <w:spacing w:after="360" w:line="260" w:lineRule="atLeast"/>
        <w:rPr>
          <w:rFonts w:eastAsia="Times New Roman" w:cstheme="minorHAnsi"/>
          <w:b/>
          <w:color w:val="000000"/>
          <w:sz w:val="20"/>
          <w:lang w:eastAsia="de-DE" w:bidi="en-US"/>
        </w:rPr>
      </w:pPr>
      <w:r w:rsidRPr="000B0E8E">
        <w:rPr>
          <w:rFonts w:eastAsia="Times New Roman" w:cstheme="minorHAnsi"/>
          <w:b/>
          <w:color w:val="000000"/>
          <w:sz w:val="20"/>
          <w:lang w:eastAsia="de-DE" w:bidi="en-US"/>
        </w:rPr>
        <w:t xml:space="preserve">Patrick J. McHugh </w:t>
      </w:r>
      <w:r w:rsidRPr="000B0E8E">
        <w:rPr>
          <w:rFonts w:eastAsia="Times New Roman" w:cstheme="minorHAnsi"/>
          <w:b/>
          <w:color w:val="000000"/>
          <w:sz w:val="20"/>
          <w:vertAlign w:val="superscript"/>
          <w:lang w:eastAsia="de-DE" w:bidi="en-US"/>
        </w:rPr>
        <w:t>1</w:t>
      </w:r>
      <w:proofErr w:type="gramStart"/>
      <w:r w:rsidRPr="000B0E8E">
        <w:rPr>
          <w:rFonts w:eastAsia="Times New Roman" w:cstheme="minorHAnsi"/>
          <w:b/>
          <w:color w:val="000000"/>
          <w:sz w:val="20"/>
          <w:vertAlign w:val="superscript"/>
          <w:lang w:eastAsia="de-DE" w:bidi="en-US"/>
        </w:rPr>
        <w:t>,†</w:t>
      </w:r>
      <w:proofErr w:type="gramEnd"/>
      <w:r w:rsidRPr="000B0E8E">
        <w:rPr>
          <w:rFonts w:eastAsia="DengXian" w:cstheme="minorHAnsi"/>
          <w:b/>
          <w:color w:val="000000"/>
          <w:sz w:val="20"/>
          <w:lang w:bidi="en-US"/>
        </w:rPr>
        <w:t>,</w:t>
      </w:r>
      <w:r w:rsidRPr="000B0E8E">
        <w:rPr>
          <w:rFonts w:eastAsia="Times New Roman" w:cstheme="minorHAnsi"/>
          <w:b/>
          <w:color w:val="000000"/>
          <w:sz w:val="20"/>
          <w:lang w:eastAsia="de-DE" w:bidi="en-US"/>
        </w:rPr>
        <w:t xml:space="preserve"> </w:t>
      </w:r>
      <w:proofErr w:type="spellStart"/>
      <w:r w:rsidRPr="000B0E8E">
        <w:rPr>
          <w:rFonts w:eastAsia="Times New Roman" w:cstheme="minorHAnsi"/>
          <w:b/>
          <w:color w:val="000000"/>
          <w:sz w:val="20"/>
          <w:lang w:eastAsia="de-DE" w:bidi="en-US"/>
        </w:rPr>
        <w:t>Arindam</w:t>
      </w:r>
      <w:proofErr w:type="spellEnd"/>
      <w:r w:rsidRPr="000B0E8E">
        <w:rPr>
          <w:rFonts w:eastAsia="Times New Roman" w:cstheme="minorHAnsi"/>
          <w:b/>
          <w:color w:val="000000"/>
          <w:sz w:val="20"/>
          <w:lang w:eastAsia="de-DE" w:bidi="en-US"/>
        </w:rPr>
        <w:t xml:space="preserve"> K. Das </w:t>
      </w:r>
      <w:r w:rsidRPr="000B0E8E">
        <w:rPr>
          <w:rFonts w:eastAsia="Times New Roman" w:cstheme="minorHAnsi"/>
          <w:b/>
          <w:color w:val="000000"/>
          <w:sz w:val="20"/>
          <w:vertAlign w:val="superscript"/>
          <w:lang w:eastAsia="de-DE" w:bidi="en-US"/>
        </w:rPr>
        <w:t>1,2,†</w:t>
      </w:r>
      <w:r w:rsidRPr="000B0E8E">
        <w:rPr>
          <w:rFonts w:eastAsia="Times New Roman" w:cstheme="minorHAnsi"/>
          <w:b/>
          <w:color w:val="000000"/>
          <w:sz w:val="20"/>
          <w:lang w:eastAsia="de-DE" w:bidi="en-US"/>
        </w:rPr>
        <w:t xml:space="preserve">, Alexander G. Wallace </w:t>
      </w:r>
      <w:r w:rsidRPr="000B0E8E">
        <w:rPr>
          <w:rFonts w:eastAsia="Times New Roman" w:cstheme="minorHAnsi"/>
          <w:b/>
          <w:color w:val="000000"/>
          <w:sz w:val="20"/>
          <w:vertAlign w:val="superscript"/>
          <w:lang w:eastAsia="de-DE" w:bidi="en-US"/>
        </w:rPr>
        <w:t>1</w:t>
      </w:r>
      <w:r w:rsidRPr="000B0E8E">
        <w:rPr>
          <w:rFonts w:eastAsia="Times New Roman" w:cstheme="minorHAnsi"/>
          <w:b/>
          <w:color w:val="000000"/>
          <w:sz w:val="20"/>
          <w:lang w:eastAsia="de-DE" w:bidi="en-US"/>
        </w:rPr>
        <w:t xml:space="preserve">, </w:t>
      </w:r>
      <w:proofErr w:type="spellStart"/>
      <w:r w:rsidRPr="000B0E8E">
        <w:rPr>
          <w:rFonts w:eastAsia="Times New Roman" w:cstheme="minorHAnsi"/>
          <w:b/>
          <w:color w:val="000000"/>
          <w:sz w:val="20"/>
          <w:lang w:eastAsia="de-DE" w:bidi="en-US"/>
        </w:rPr>
        <w:t>Vaibhav</w:t>
      </w:r>
      <w:proofErr w:type="spellEnd"/>
      <w:r w:rsidRPr="000B0E8E">
        <w:rPr>
          <w:rFonts w:eastAsia="Times New Roman" w:cstheme="minorHAnsi"/>
          <w:b/>
          <w:color w:val="000000"/>
          <w:sz w:val="20"/>
          <w:lang w:eastAsia="de-DE" w:bidi="en-US"/>
        </w:rPr>
        <w:t xml:space="preserve"> </w:t>
      </w:r>
      <w:proofErr w:type="spellStart"/>
      <w:r w:rsidRPr="000B0E8E">
        <w:rPr>
          <w:rFonts w:eastAsia="Times New Roman" w:cstheme="minorHAnsi"/>
          <w:b/>
          <w:color w:val="000000"/>
          <w:sz w:val="20"/>
          <w:lang w:eastAsia="de-DE" w:bidi="en-US"/>
        </w:rPr>
        <w:t>Kulshrestha</w:t>
      </w:r>
      <w:proofErr w:type="spellEnd"/>
      <w:r w:rsidRPr="000B0E8E">
        <w:rPr>
          <w:rFonts w:eastAsia="Times New Roman" w:cstheme="minorHAnsi"/>
          <w:b/>
          <w:color w:val="000000"/>
          <w:sz w:val="20"/>
          <w:lang w:eastAsia="de-DE" w:bidi="en-US"/>
        </w:rPr>
        <w:t xml:space="preserve"> </w:t>
      </w:r>
      <w:r w:rsidRPr="000B0E8E">
        <w:rPr>
          <w:rFonts w:eastAsia="Times New Roman" w:cstheme="minorHAnsi"/>
          <w:b/>
          <w:color w:val="000000"/>
          <w:sz w:val="20"/>
          <w:vertAlign w:val="superscript"/>
          <w:lang w:eastAsia="de-DE" w:bidi="en-US"/>
        </w:rPr>
        <w:t>2</w:t>
      </w:r>
      <w:r w:rsidRPr="000B0E8E">
        <w:rPr>
          <w:rFonts w:eastAsia="Times New Roman" w:cstheme="minorHAnsi"/>
          <w:b/>
          <w:color w:val="000000"/>
          <w:sz w:val="20"/>
          <w:lang w:eastAsia="de-DE" w:bidi="en-US"/>
        </w:rPr>
        <w:t xml:space="preserve">, Vinod K. </w:t>
      </w:r>
      <w:proofErr w:type="spellStart"/>
      <w:r w:rsidRPr="000B0E8E">
        <w:rPr>
          <w:rFonts w:eastAsia="Times New Roman" w:cstheme="minorHAnsi"/>
          <w:b/>
          <w:color w:val="000000"/>
          <w:sz w:val="20"/>
          <w:lang w:eastAsia="de-DE" w:bidi="en-US"/>
        </w:rPr>
        <w:t>Shahi</w:t>
      </w:r>
      <w:proofErr w:type="spellEnd"/>
      <w:r w:rsidRPr="000B0E8E">
        <w:rPr>
          <w:rFonts w:eastAsia="Times New Roman" w:cstheme="minorHAnsi"/>
          <w:b/>
          <w:color w:val="000000"/>
          <w:sz w:val="20"/>
          <w:lang w:eastAsia="de-DE" w:bidi="en-US"/>
        </w:rPr>
        <w:t xml:space="preserve"> </w:t>
      </w:r>
      <w:r w:rsidRPr="000B0E8E">
        <w:rPr>
          <w:rFonts w:eastAsia="Times New Roman" w:cstheme="minorHAnsi"/>
          <w:b/>
          <w:color w:val="000000"/>
          <w:sz w:val="20"/>
          <w:vertAlign w:val="superscript"/>
          <w:lang w:eastAsia="de-DE" w:bidi="en-US"/>
        </w:rPr>
        <w:t>2,</w:t>
      </w:r>
      <w:r w:rsidRPr="000B0E8E">
        <w:rPr>
          <w:rFonts w:eastAsia="Times New Roman" w:cstheme="minorHAnsi"/>
          <w:b/>
          <w:color w:val="000000"/>
          <w:sz w:val="20"/>
          <w:lang w:eastAsia="de-DE" w:bidi="en-US"/>
        </w:rPr>
        <w:t xml:space="preserve">* and Mark D. Symes </w:t>
      </w:r>
      <w:r w:rsidRPr="000B0E8E">
        <w:rPr>
          <w:rFonts w:eastAsia="Times New Roman" w:cstheme="minorHAnsi"/>
          <w:b/>
          <w:color w:val="000000"/>
          <w:sz w:val="20"/>
          <w:vertAlign w:val="superscript"/>
          <w:lang w:eastAsia="de-DE" w:bidi="en-US"/>
        </w:rPr>
        <w:t>1,</w:t>
      </w:r>
      <w:r w:rsidRPr="000B0E8E">
        <w:rPr>
          <w:rFonts w:eastAsia="Times New Roman" w:cstheme="minorHAnsi"/>
          <w:b/>
          <w:color w:val="000000"/>
          <w:sz w:val="20"/>
          <w:lang w:eastAsia="de-DE" w:bidi="en-US"/>
        </w:rPr>
        <w:t>*</w:t>
      </w:r>
    </w:p>
    <w:p w14:paraId="527417A3" w14:textId="77777777" w:rsidR="000B0E8E" w:rsidRPr="000B0E8E" w:rsidRDefault="000B0E8E" w:rsidP="000B0E8E">
      <w:pPr>
        <w:adjustRightInd w:val="0"/>
        <w:snapToGrid w:val="0"/>
        <w:spacing w:after="0" w:line="200" w:lineRule="atLeast"/>
        <w:ind w:left="2806" w:hanging="198"/>
        <w:rPr>
          <w:rFonts w:eastAsia="Times New Roman" w:cstheme="minorHAnsi"/>
          <w:color w:val="000000"/>
          <w:sz w:val="16"/>
          <w:szCs w:val="18"/>
          <w:lang w:eastAsia="de-DE" w:bidi="en-US"/>
        </w:rPr>
      </w:pPr>
      <w:r w:rsidRPr="000B0E8E">
        <w:rPr>
          <w:rFonts w:eastAsia="Times New Roman" w:cstheme="minorHAnsi"/>
          <w:color w:val="000000"/>
          <w:sz w:val="16"/>
          <w:szCs w:val="18"/>
          <w:vertAlign w:val="superscript"/>
          <w:lang w:eastAsia="de-DE" w:bidi="en-US"/>
        </w:rPr>
        <w:t>1</w:t>
      </w:r>
      <w:r w:rsidRPr="000B0E8E">
        <w:rPr>
          <w:rFonts w:eastAsia="Times New Roman" w:cstheme="minorHAnsi"/>
          <w:color w:val="000000"/>
          <w:sz w:val="16"/>
          <w:szCs w:val="18"/>
          <w:lang w:eastAsia="de-DE" w:bidi="en-US"/>
        </w:rPr>
        <w:tab/>
      </w:r>
      <w:proofErr w:type="spellStart"/>
      <w:r w:rsidRPr="000B0E8E">
        <w:rPr>
          <w:rFonts w:eastAsia="Calibri" w:cstheme="minorHAnsi"/>
          <w:color w:val="000000"/>
          <w:sz w:val="16"/>
          <w:szCs w:val="18"/>
          <w:lang w:eastAsia="de-DE" w:bidi="en-US"/>
        </w:rPr>
        <w:t>WestCHEM</w:t>
      </w:r>
      <w:proofErr w:type="spellEnd"/>
      <w:r w:rsidRPr="000B0E8E">
        <w:rPr>
          <w:rFonts w:eastAsia="Calibri" w:cstheme="minorHAnsi"/>
          <w:color w:val="000000"/>
          <w:sz w:val="16"/>
          <w:szCs w:val="18"/>
          <w:lang w:eastAsia="de-DE" w:bidi="en-US"/>
        </w:rPr>
        <w:t xml:space="preserve">, School of Chemistry, University of Glasgow, University Avenue, Glasgow G12 8QQ, UK; </w:t>
      </w:r>
      <w:r w:rsidRPr="000B0E8E">
        <w:rPr>
          <w:rFonts w:eastAsia="Calibri" w:cstheme="minorHAnsi"/>
          <w:color w:val="000000"/>
          <w:sz w:val="16"/>
          <w:szCs w:val="18"/>
          <w:lang w:val="en-US" w:eastAsia="de-DE" w:bidi="en-US"/>
        </w:rPr>
        <w:t>p.mchugh.1@research.gla.ac.uk</w:t>
      </w:r>
      <w:r w:rsidRPr="000B0E8E" w:rsidDel="00343F34">
        <w:rPr>
          <w:rFonts w:eastAsia="Calibri" w:cstheme="minorHAnsi"/>
          <w:color w:val="000000"/>
          <w:sz w:val="16"/>
          <w:szCs w:val="18"/>
          <w:lang w:eastAsia="de-DE" w:bidi="en-US"/>
        </w:rPr>
        <w:t xml:space="preserve"> </w:t>
      </w:r>
      <w:r w:rsidRPr="000B0E8E">
        <w:rPr>
          <w:rFonts w:eastAsia="Calibri" w:cstheme="minorHAnsi"/>
          <w:color w:val="000000"/>
          <w:sz w:val="16"/>
          <w:szCs w:val="18"/>
          <w:lang w:eastAsia="de-DE" w:bidi="en-US"/>
        </w:rPr>
        <w:t xml:space="preserve">(P.J.M.); arindamkumar91@gmail.com (A.K.D.); </w:t>
      </w:r>
      <w:r w:rsidRPr="000B0E8E">
        <w:rPr>
          <w:rFonts w:eastAsia="Calibri" w:cstheme="minorHAnsi"/>
          <w:color w:val="000000"/>
          <w:sz w:val="16"/>
          <w:szCs w:val="18"/>
          <w:lang w:eastAsia="de-DE" w:bidi="en-US"/>
        </w:rPr>
        <w:br/>
        <w:t>A.G.Wallace@soton.ac.uk (A.G.W.)</w:t>
      </w:r>
    </w:p>
    <w:p w14:paraId="4ABB9FF5" w14:textId="77777777" w:rsidR="000B0E8E" w:rsidRPr="000B0E8E" w:rsidRDefault="000B0E8E" w:rsidP="000B0E8E">
      <w:pPr>
        <w:adjustRightInd w:val="0"/>
        <w:snapToGrid w:val="0"/>
        <w:spacing w:after="0" w:line="200" w:lineRule="atLeast"/>
        <w:ind w:left="2806" w:hanging="198"/>
        <w:rPr>
          <w:rFonts w:eastAsia="Times New Roman" w:cstheme="minorHAnsi"/>
          <w:color w:val="000000"/>
          <w:sz w:val="16"/>
          <w:szCs w:val="18"/>
          <w:lang w:eastAsia="de-DE" w:bidi="en-US"/>
        </w:rPr>
      </w:pPr>
      <w:r w:rsidRPr="000B0E8E">
        <w:rPr>
          <w:rFonts w:eastAsia="Times New Roman" w:cstheme="minorHAnsi"/>
          <w:color w:val="000000"/>
          <w:sz w:val="16"/>
          <w:szCs w:val="18"/>
          <w:vertAlign w:val="superscript"/>
          <w:lang w:eastAsia="de-DE" w:bidi="en-US"/>
        </w:rPr>
        <w:t>2</w:t>
      </w:r>
      <w:r w:rsidRPr="000B0E8E">
        <w:rPr>
          <w:rFonts w:eastAsia="Times New Roman" w:cstheme="minorHAnsi"/>
          <w:color w:val="000000"/>
          <w:sz w:val="16"/>
          <w:szCs w:val="18"/>
          <w:lang w:eastAsia="de-DE" w:bidi="en-US"/>
        </w:rPr>
        <w:tab/>
        <w:t xml:space="preserve">Central Salt and Marine Chemicals Research Institute, Bhavnagar </w:t>
      </w:r>
      <w:proofErr w:type="gramStart"/>
      <w:r w:rsidRPr="000B0E8E">
        <w:rPr>
          <w:rFonts w:eastAsia="Times New Roman" w:cstheme="minorHAnsi"/>
          <w:color w:val="000000"/>
          <w:sz w:val="16"/>
          <w:szCs w:val="18"/>
          <w:lang w:eastAsia="de-DE" w:bidi="en-US"/>
        </w:rPr>
        <w:t>364002 ,</w:t>
      </w:r>
      <w:proofErr w:type="gramEnd"/>
      <w:r w:rsidRPr="000B0E8E">
        <w:rPr>
          <w:rFonts w:eastAsia="Times New Roman" w:cstheme="minorHAnsi"/>
          <w:color w:val="000000"/>
          <w:sz w:val="16"/>
          <w:szCs w:val="18"/>
          <w:lang w:eastAsia="de-DE" w:bidi="en-US"/>
        </w:rPr>
        <w:t xml:space="preserve"> Gujarat, India; vaibhavk@csmcri.res.in</w:t>
      </w:r>
    </w:p>
    <w:p w14:paraId="1AF44862" w14:textId="77777777" w:rsidR="000B0E8E" w:rsidRPr="000B0E8E" w:rsidRDefault="000B0E8E" w:rsidP="000B0E8E">
      <w:pPr>
        <w:adjustRightInd w:val="0"/>
        <w:snapToGrid w:val="0"/>
        <w:spacing w:after="0" w:line="200" w:lineRule="atLeast"/>
        <w:ind w:left="2806" w:hanging="198"/>
        <w:rPr>
          <w:rFonts w:eastAsia="Times New Roman" w:cstheme="minorHAnsi"/>
          <w:color w:val="000000"/>
          <w:sz w:val="16"/>
          <w:szCs w:val="18"/>
          <w:lang w:eastAsia="de-DE" w:bidi="en-US"/>
        </w:rPr>
      </w:pPr>
      <w:r w:rsidRPr="000B0E8E">
        <w:rPr>
          <w:rFonts w:eastAsia="Times New Roman" w:cstheme="minorHAnsi"/>
          <w:b/>
          <w:color w:val="000000"/>
          <w:sz w:val="16"/>
          <w:szCs w:val="18"/>
          <w:lang w:eastAsia="de-DE" w:bidi="en-US"/>
        </w:rPr>
        <w:t>*</w:t>
      </w:r>
      <w:r w:rsidRPr="000B0E8E">
        <w:rPr>
          <w:rFonts w:eastAsia="Times New Roman" w:cstheme="minorHAnsi"/>
          <w:color w:val="000000"/>
          <w:sz w:val="16"/>
          <w:szCs w:val="18"/>
          <w:lang w:eastAsia="de-DE" w:bidi="en-US"/>
        </w:rPr>
        <w:tab/>
        <w:t>Correspondence: vkshahi@csmcri.res.in (V.K.S.); mark.symes@glasgow.ac.uk (M.D.S.)</w:t>
      </w:r>
    </w:p>
    <w:p w14:paraId="28898AEE" w14:textId="77777777" w:rsidR="000B0E8E" w:rsidRPr="000B0E8E" w:rsidRDefault="000B0E8E" w:rsidP="000B0E8E">
      <w:pPr>
        <w:adjustRightInd w:val="0"/>
        <w:snapToGrid w:val="0"/>
        <w:spacing w:after="0" w:line="200" w:lineRule="atLeast"/>
        <w:ind w:left="2806" w:hanging="198"/>
        <w:rPr>
          <w:rFonts w:eastAsia="Times New Roman" w:cstheme="minorHAnsi"/>
          <w:color w:val="000000"/>
          <w:sz w:val="16"/>
          <w:szCs w:val="18"/>
          <w:lang w:eastAsia="de-DE" w:bidi="en-US"/>
        </w:rPr>
      </w:pPr>
      <w:r w:rsidRPr="000B0E8E">
        <w:rPr>
          <w:rFonts w:eastAsia="Times New Roman" w:cstheme="minorHAnsi"/>
          <w:color w:val="000000"/>
          <w:sz w:val="16"/>
          <w:szCs w:val="18"/>
          <w:lang w:eastAsia="de-DE" w:bidi="en-US"/>
        </w:rPr>
        <w:t>†</w:t>
      </w:r>
      <w:r w:rsidRPr="000B0E8E">
        <w:rPr>
          <w:rFonts w:eastAsia="Times New Roman" w:cstheme="minorHAnsi"/>
          <w:color w:val="000000"/>
          <w:sz w:val="16"/>
          <w:szCs w:val="18"/>
          <w:lang w:eastAsia="de-DE" w:bidi="en-US"/>
        </w:rPr>
        <w:tab/>
        <w:t>These authors contributed equally.</w:t>
      </w:r>
    </w:p>
    <w:p w14:paraId="61706D87" w14:textId="77777777" w:rsidR="000B470A" w:rsidRPr="00031E4D" w:rsidRDefault="000B470A" w:rsidP="000B470A">
      <w:pPr>
        <w:spacing w:after="0"/>
        <w:jc w:val="center"/>
        <w:rPr>
          <w:rFonts w:ascii="Times New Roman" w:eastAsia="Times New Roman" w:hAnsi="Times New Roman" w:cs="Times New Roman"/>
          <w:sz w:val="20"/>
          <w:szCs w:val="20"/>
          <w:u w:val="single"/>
          <w:lang w:val="en-US" w:eastAsia="en-US"/>
        </w:rPr>
      </w:pPr>
    </w:p>
    <w:p w14:paraId="3126CC01" w14:textId="77777777" w:rsidR="000B470A" w:rsidRPr="00031E4D" w:rsidRDefault="000B470A">
      <w:pPr>
        <w:rPr>
          <w:b/>
          <w:bCs/>
          <w:sz w:val="24"/>
          <w:szCs w:val="24"/>
        </w:rPr>
      </w:pPr>
    </w:p>
    <w:p w14:paraId="386D14C9" w14:textId="77777777" w:rsidR="000B470A" w:rsidRPr="00031E4D" w:rsidRDefault="000B470A">
      <w:pPr>
        <w:rPr>
          <w:b/>
          <w:bCs/>
          <w:sz w:val="24"/>
          <w:szCs w:val="24"/>
        </w:rPr>
      </w:pPr>
    </w:p>
    <w:p w14:paraId="26B90C35" w14:textId="77777777" w:rsidR="00F80139" w:rsidRPr="00031E4D" w:rsidRDefault="00F80139" w:rsidP="00520E9C">
      <w:pPr>
        <w:jc w:val="both"/>
        <w:rPr>
          <w:b/>
          <w:bCs/>
          <w:sz w:val="24"/>
          <w:szCs w:val="24"/>
        </w:rPr>
      </w:pPr>
    </w:p>
    <w:p w14:paraId="3078795A" w14:textId="77777777" w:rsidR="00A60819" w:rsidRPr="00031E4D" w:rsidRDefault="00A60819">
      <w:pPr>
        <w:rPr>
          <w:b/>
          <w:bCs/>
          <w:sz w:val="24"/>
          <w:szCs w:val="24"/>
        </w:rPr>
      </w:pPr>
      <w:r w:rsidRPr="00031E4D">
        <w:rPr>
          <w:b/>
          <w:bCs/>
          <w:sz w:val="24"/>
          <w:szCs w:val="24"/>
        </w:rPr>
        <w:br w:type="page"/>
      </w:r>
    </w:p>
    <w:p w14:paraId="6DA69D04" w14:textId="4E399CF6" w:rsidR="00AF2F62" w:rsidRPr="00031E4D" w:rsidRDefault="00AF2F62" w:rsidP="00A60819"/>
    <w:p w14:paraId="08A24510" w14:textId="77777777" w:rsidR="000B0E8E" w:rsidRPr="000B0E8E" w:rsidRDefault="000B0E8E" w:rsidP="000B0E8E">
      <w:pPr>
        <w:rPr>
          <w:i/>
        </w:rPr>
      </w:pPr>
      <w:r w:rsidRPr="000B0E8E">
        <w:rPr>
          <w:i/>
        </w:rPr>
        <w:t>2.1. Materials</w:t>
      </w:r>
    </w:p>
    <w:p w14:paraId="54403347" w14:textId="77777777" w:rsidR="000B0E8E" w:rsidRPr="000B0E8E" w:rsidRDefault="000B0E8E" w:rsidP="000B0E8E">
      <w:r w:rsidRPr="000B0E8E">
        <w:t xml:space="preserve">Ultrapure deionised water (18.2 </w:t>
      </w:r>
      <w:proofErr w:type="spellStart"/>
      <w:r w:rsidRPr="000B0E8E">
        <w:t>MΩ·cm</w:t>
      </w:r>
      <w:proofErr w:type="spellEnd"/>
      <w:r w:rsidRPr="000B0E8E">
        <w:t xml:space="preserve">) obtained from a Sartorius </w:t>
      </w:r>
      <w:proofErr w:type="spellStart"/>
      <w:r w:rsidRPr="000B0E8E">
        <w:t>Arium</w:t>
      </w:r>
      <w:proofErr w:type="spellEnd"/>
      <w:r w:rsidRPr="000B0E8E">
        <w:t xml:space="preserve"> Comfort combined water system was used in all experiments. Alkali (Kraft) lignin and sodium hydroxide (≥98%) were purchased from Sigma Aldrich and Honeywell, respectively. The electrodes used were commercial products purchased from </w:t>
      </w:r>
      <w:proofErr w:type="spellStart"/>
      <w:r w:rsidRPr="000B0E8E">
        <w:t>FuelCellStore</w:t>
      </w:r>
      <w:proofErr w:type="spellEnd"/>
      <w:r w:rsidRPr="000B0E8E">
        <w:t>. The anode used was Pt/Ru catalyst (2 mg cm</w:t>
      </w:r>
      <w:r w:rsidRPr="000B0E8E">
        <w:rPr>
          <w:vertAlign w:val="superscript"/>
        </w:rPr>
        <w:t>−2</w:t>
      </w:r>
      <w:r w:rsidRPr="000B0E8E">
        <w:t xml:space="preserve">, 50% Pt/50% Ru </w:t>
      </w:r>
      <w:proofErr w:type="spellStart"/>
      <w:r w:rsidRPr="000B0E8E">
        <w:t>wt</w:t>
      </w:r>
      <w:proofErr w:type="spellEnd"/>
      <w:r w:rsidRPr="000B0E8E">
        <w:t>/</w:t>
      </w:r>
      <w:proofErr w:type="spellStart"/>
      <w:r w:rsidRPr="000B0E8E">
        <w:t>wt</w:t>
      </w:r>
      <w:proofErr w:type="spellEnd"/>
      <w:r w:rsidRPr="000B0E8E">
        <w:t xml:space="preserve">) impregnated on carbon cloth (410 </w:t>
      </w:r>
      <w:proofErr w:type="spellStart"/>
      <w:r w:rsidRPr="000B0E8E">
        <w:t>μm</w:t>
      </w:r>
      <w:proofErr w:type="spellEnd"/>
      <w:r w:rsidRPr="000B0E8E">
        <w:t xml:space="preserve"> thick microporous layer). The cathode used was a Pt/C catalyst (0.2 mg cm</w:t>
      </w:r>
      <w:r w:rsidRPr="000B0E8E">
        <w:rPr>
          <w:vertAlign w:val="superscript"/>
        </w:rPr>
        <w:t>−2</w:t>
      </w:r>
      <w:r w:rsidRPr="000B0E8E">
        <w:t xml:space="preserve">, 20% </w:t>
      </w:r>
      <w:proofErr w:type="spellStart"/>
      <w:r w:rsidRPr="000B0E8E">
        <w:t>wt</w:t>
      </w:r>
      <w:proofErr w:type="spellEnd"/>
      <w:r w:rsidRPr="000B0E8E">
        <w:t xml:space="preserve"> Pt) impregnated on identical carbon cloth to the anode. The commercial anion-exchange membrane FUMAPEM FAA-3-50 was purchased from </w:t>
      </w:r>
      <w:proofErr w:type="spellStart"/>
      <w:r w:rsidRPr="000B0E8E">
        <w:t>FuelCellStore</w:t>
      </w:r>
      <w:proofErr w:type="spellEnd"/>
      <w:r w:rsidRPr="000B0E8E">
        <w:t>. Poly (vinylidene fluoride-co-hexafluoropropylene) (M</w:t>
      </w:r>
      <w:r w:rsidRPr="000B0E8E">
        <w:rPr>
          <w:vertAlign w:val="subscript"/>
        </w:rPr>
        <w:t>n</w:t>
      </w:r>
      <w:r w:rsidRPr="000B0E8E">
        <w:t xml:space="preserve">~130,000 g/mol), </w:t>
      </w:r>
      <w:r w:rsidRPr="000B0E8E">
        <w:rPr>
          <w:i/>
          <w:iCs/>
        </w:rPr>
        <w:t>N</w:t>
      </w:r>
      <w:r w:rsidRPr="000B0E8E">
        <w:t>-vinylimidazole and (vinylbenzyl) trimethylammonium chloride monomers were purchased from Sigma Aldrich and used without further purification. Dimethylacetamide and isopropyl alcohol were supplied by SD Fine-</w:t>
      </w:r>
      <w:proofErr w:type="spellStart"/>
      <w:r w:rsidRPr="000B0E8E">
        <w:t>Chem</w:t>
      </w:r>
      <w:proofErr w:type="spellEnd"/>
      <w:r w:rsidRPr="000B0E8E">
        <w:t xml:space="preserve"> Ltd. (Mumbai, India).</w:t>
      </w:r>
    </w:p>
    <w:p w14:paraId="3DFC1B09" w14:textId="77777777" w:rsidR="000B0E8E" w:rsidRPr="000B0E8E" w:rsidRDefault="000B0E8E" w:rsidP="000B0E8E">
      <w:pPr>
        <w:rPr>
          <w:i/>
        </w:rPr>
      </w:pPr>
      <w:r w:rsidRPr="000B0E8E">
        <w:rPr>
          <w:i/>
        </w:rPr>
        <w:t>2.2. Flow Cell Components</w:t>
      </w:r>
    </w:p>
    <w:p w14:paraId="0BA605DC" w14:textId="77777777" w:rsidR="000B0E8E" w:rsidRPr="000B0E8E" w:rsidRDefault="000B0E8E" w:rsidP="000B0E8E">
      <w:r w:rsidRPr="000B0E8E">
        <w:t>The flow cell was assembled as shown in Figure 1. The anolyte used was a solution of alkali lignin (10 g L</w:t>
      </w:r>
      <w:r w:rsidRPr="000B0E8E">
        <w:rPr>
          <w:vertAlign w:val="superscript"/>
        </w:rPr>
        <w:t>−1</w:t>
      </w:r>
      <w:r w:rsidRPr="000B0E8E">
        <w:t xml:space="preserve"> in 1 M NaOH) and the catholyte was an aqueous solution of NaOH (1 M). The feed solutions were transported to and from the cell using two </w:t>
      </w:r>
      <w:proofErr w:type="spellStart"/>
      <w:r w:rsidRPr="000B0E8E">
        <w:t>Fisherbrand</w:t>
      </w:r>
      <w:proofErr w:type="spellEnd"/>
      <w:r w:rsidRPr="000B0E8E">
        <w:t xml:space="preserve"> GP1100 general purpose peristaltic pumps at a flow rate of 10 mL min</w:t>
      </w:r>
      <w:r w:rsidRPr="000B0E8E">
        <w:rPr>
          <w:vertAlign w:val="superscript"/>
        </w:rPr>
        <w:t>−1</w:t>
      </w:r>
      <w:r w:rsidRPr="000B0E8E">
        <w:t>. The flow plates used were fabricated from stainless steel, with 6 channels (0.9 × 0.9 mm) through which the feedstock solutions were passed. Gaskets were cut from either 0.45 mm or 0.1 mm thick polytetrafluoroethylene (PTFE). The stack compression was 5.65 Nm and the active area of the membrane was 12.96 cm</w:t>
      </w:r>
      <w:r w:rsidRPr="000B0E8E">
        <w:rPr>
          <w:vertAlign w:val="superscript"/>
        </w:rPr>
        <w:t>2</w:t>
      </w:r>
      <w:r w:rsidRPr="000B0E8E">
        <w:t xml:space="preserve">. The temperature within the cell was controlled by heating the reservoirs of the feed solutions in an oil bath. The temperature was monitored using K-type thermocouples inserted into the inlet and outlet of the anodic side. Temperature data were recorded using a Pico TC-08 data logger and </w:t>
      </w:r>
      <w:proofErr w:type="spellStart"/>
      <w:r w:rsidRPr="000B0E8E">
        <w:t>PicoLog</w:t>
      </w:r>
      <w:proofErr w:type="spellEnd"/>
      <w:r w:rsidRPr="000B0E8E">
        <w:t xml:space="preserve"> software for Windows.</w:t>
      </w:r>
    </w:p>
    <w:p w14:paraId="7B3B7760" w14:textId="77777777" w:rsidR="000B0E8E" w:rsidRPr="000B0E8E" w:rsidRDefault="000B0E8E" w:rsidP="000B0E8E">
      <w:r w:rsidRPr="000B0E8E">
        <w:rPr>
          <w:lang w:val="en-US"/>
        </w:rPr>
        <w:drawing>
          <wp:inline distT="0" distB="0" distL="0" distR="0" wp14:anchorId="70428E58" wp14:editId="445BBD08">
            <wp:extent cx="5659755" cy="281051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755" cy="2810510"/>
                    </a:xfrm>
                    <a:prstGeom prst="rect">
                      <a:avLst/>
                    </a:prstGeom>
                    <a:noFill/>
                    <a:ln>
                      <a:noFill/>
                    </a:ln>
                  </pic:spPr>
                </pic:pic>
              </a:graphicData>
            </a:graphic>
          </wp:inline>
        </w:drawing>
      </w:r>
    </w:p>
    <w:p w14:paraId="335F8F64" w14:textId="77777777" w:rsidR="000B0E8E" w:rsidRDefault="000B0E8E" w:rsidP="000B0E8E">
      <w:proofErr w:type="gramStart"/>
      <w:r w:rsidRPr="000B0E8E">
        <w:rPr>
          <w:b/>
        </w:rPr>
        <w:t>Figure 1.</w:t>
      </w:r>
      <w:proofErr w:type="gramEnd"/>
      <w:r w:rsidRPr="000B0E8E">
        <w:rPr>
          <w:b/>
        </w:rPr>
        <w:t xml:space="preserve"> </w:t>
      </w:r>
      <w:proofErr w:type="gramStart"/>
      <w:r w:rsidRPr="000B0E8E">
        <w:t>Diagram of the electrolyser</w:t>
      </w:r>
      <w:r w:rsidRPr="000B0E8E" w:rsidDel="000576CB">
        <w:t xml:space="preserve"> </w:t>
      </w:r>
      <w:r w:rsidRPr="000B0E8E">
        <w:t>cell setup used for lignin electrolysis.</w:t>
      </w:r>
      <w:proofErr w:type="gramEnd"/>
      <w:r w:rsidRPr="000B0E8E">
        <w:t xml:space="preserve"> The electrolyser setup is a “zero-gap” configuration where the anode and cathode catalysts are sandwiched between the conductive flow plates. The potentiostat is connected to each flow plate by way of terminal spades with banana jacks, and so the flow plates also function as current collectors.</w:t>
      </w:r>
    </w:p>
    <w:p w14:paraId="0369E99E" w14:textId="77777777" w:rsidR="000B0E8E" w:rsidRPr="000B0E8E" w:rsidRDefault="000B0E8E" w:rsidP="000B0E8E"/>
    <w:p w14:paraId="740CD05B" w14:textId="77777777" w:rsidR="000B0E8E" w:rsidRPr="000B0E8E" w:rsidRDefault="000B0E8E" w:rsidP="000B0E8E">
      <w:pPr>
        <w:rPr>
          <w:i/>
        </w:rPr>
      </w:pPr>
      <w:r w:rsidRPr="000B0E8E">
        <w:rPr>
          <w:i/>
        </w:rPr>
        <w:lastRenderedPageBreak/>
        <w:t>2.3. Electrochemical Characterisation of the Cell</w:t>
      </w:r>
    </w:p>
    <w:p w14:paraId="2AA23BE1" w14:textId="77777777" w:rsidR="000B0E8E" w:rsidRPr="000B0E8E" w:rsidRDefault="000B0E8E" w:rsidP="000B0E8E">
      <w:r w:rsidRPr="000B0E8E">
        <w:t xml:space="preserve">Electrochemical impedance spectroscopy (EIS) and linear sweep voltammetry (LSV) data were recorded for the electrolyser cell using a Bio-Logic SP-150 potentiostat equipped with a VMP3B-20 20 </w:t>
      </w:r>
      <w:proofErr w:type="gramStart"/>
      <w:r w:rsidRPr="000B0E8E">
        <w:t>A</w:t>
      </w:r>
      <w:proofErr w:type="gramEnd"/>
      <w:r w:rsidRPr="000B0E8E">
        <w:t xml:space="preserve"> booster. Data were recorded and analysed using EC-Lab (v11.12). Unless stated otherwise, EIS was carried out under the following experimental parameters: electrolyte flow rate = 10 mL min</w:t>
      </w:r>
      <w:r w:rsidRPr="000B0E8E">
        <w:rPr>
          <w:vertAlign w:val="superscript"/>
        </w:rPr>
        <w:t>−1</w:t>
      </w:r>
      <w:r w:rsidRPr="000B0E8E">
        <w:t xml:space="preserve">, quiet time (resting at the DC bias potential) = 10 min, starting frequency = 1 MHz, ending frequency = 10 </w:t>
      </w:r>
      <w:proofErr w:type="spellStart"/>
      <w:proofErr w:type="gramStart"/>
      <w:r w:rsidRPr="000B0E8E">
        <w:t>mHz</w:t>
      </w:r>
      <w:proofErr w:type="spellEnd"/>
      <w:proofErr w:type="gramEnd"/>
      <w:r w:rsidRPr="000B0E8E">
        <w:t>, DC bias = 0.5 V (vs. the open circuit potential), AC excitation amplitude = 14.1 mV. LSV data were recorded at a scan rate of 0.5 mV s</w:t>
      </w:r>
      <w:r w:rsidRPr="000B0E8E">
        <w:rPr>
          <w:vertAlign w:val="superscript"/>
        </w:rPr>
        <w:t>−1</w:t>
      </w:r>
      <w:r w:rsidRPr="000B0E8E">
        <w:t>.</w:t>
      </w:r>
      <w:r w:rsidRPr="000B0E8E">
        <w:rPr>
          <w:b/>
          <w:bCs/>
          <w:i/>
          <w:iCs/>
        </w:rPr>
        <w:t xml:space="preserve"> </w:t>
      </w:r>
      <w:r w:rsidRPr="000B0E8E">
        <w:t>The EIS data were fitted to an equivalent circuit, L</w:t>
      </w:r>
      <w:r w:rsidRPr="000B0E8E">
        <w:rPr>
          <w:vertAlign w:val="subscript"/>
        </w:rPr>
        <w:t xml:space="preserve">1 </w:t>
      </w:r>
      <w:r w:rsidRPr="000B0E8E">
        <w:t>+ R</w:t>
      </w:r>
      <w:r w:rsidRPr="000B0E8E">
        <w:rPr>
          <w:vertAlign w:val="subscript"/>
        </w:rPr>
        <w:t xml:space="preserve">1 </w:t>
      </w:r>
      <w:r w:rsidRPr="000B0E8E">
        <w:t>+ Q</w:t>
      </w:r>
      <w:r w:rsidRPr="000B0E8E">
        <w:rPr>
          <w:vertAlign w:val="subscript"/>
        </w:rPr>
        <w:t>1</w:t>
      </w:r>
      <w:r w:rsidRPr="000B0E8E">
        <w:t>/R</w:t>
      </w:r>
      <w:r w:rsidRPr="000B0E8E">
        <w:rPr>
          <w:vertAlign w:val="subscript"/>
        </w:rPr>
        <w:t>2</w:t>
      </w:r>
      <w:r w:rsidRPr="000B0E8E">
        <w:t xml:space="preserve"> using </w:t>
      </w:r>
      <w:proofErr w:type="spellStart"/>
      <w:r w:rsidRPr="000B0E8E">
        <w:t>AfterMath</w:t>
      </w:r>
      <w:proofErr w:type="spellEnd"/>
      <w:r w:rsidRPr="000B0E8E">
        <w:t xml:space="preserve"> (v1.5.9644, Pine Research Instrumentation Inc. (Durham, USA)). The details of the components of the equivalent circuit are as follows: L</w:t>
      </w:r>
      <w:r w:rsidRPr="000B0E8E">
        <w:rPr>
          <w:vertAlign w:val="subscript"/>
        </w:rPr>
        <w:t>1</w:t>
      </w:r>
      <w:r w:rsidRPr="000B0E8E">
        <w:t>, which is an inductor; R</w:t>
      </w:r>
      <w:r w:rsidRPr="000B0E8E">
        <w:rPr>
          <w:vertAlign w:val="subscript"/>
        </w:rPr>
        <w:t>1</w:t>
      </w:r>
      <w:r w:rsidRPr="000B0E8E">
        <w:t>, which corresponds to the series resistance of the cell (</w:t>
      </w:r>
      <w:proofErr w:type="spellStart"/>
      <w:r w:rsidRPr="000B0E8E">
        <w:t>R</w:t>
      </w:r>
      <w:r w:rsidRPr="000B0E8E">
        <w:rPr>
          <w:vertAlign w:val="subscript"/>
        </w:rPr>
        <w:t>s</w:t>
      </w:r>
      <w:proofErr w:type="spellEnd"/>
      <w:r w:rsidRPr="000B0E8E">
        <w:t>); R</w:t>
      </w:r>
      <w:r w:rsidRPr="000B0E8E">
        <w:rPr>
          <w:vertAlign w:val="subscript"/>
        </w:rPr>
        <w:t>2</w:t>
      </w:r>
      <w:r w:rsidRPr="000B0E8E">
        <w:t>, which corresponds to the polarisation resistance of the cell (</w:t>
      </w:r>
      <w:proofErr w:type="spellStart"/>
      <w:r w:rsidRPr="000B0E8E">
        <w:t>R</w:t>
      </w:r>
      <w:r w:rsidRPr="000B0E8E">
        <w:rPr>
          <w:vertAlign w:val="subscript"/>
        </w:rPr>
        <w:t>p</w:t>
      </w:r>
      <w:proofErr w:type="spellEnd"/>
      <w:r w:rsidRPr="000B0E8E">
        <w:t>); Q</w:t>
      </w:r>
      <w:r w:rsidRPr="000B0E8E">
        <w:rPr>
          <w:vertAlign w:val="subscript"/>
        </w:rPr>
        <w:t>1</w:t>
      </w:r>
      <w:r w:rsidRPr="000B0E8E">
        <w:t>, which represents a constant phase element.</w:t>
      </w:r>
    </w:p>
    <w:p w14:paraId="2CDFF424" w14:textId="77777777" w:rsidR="000B0E8E" w:rsidRPr="000B0E8E" w:rsidRDefault="000B0E8E" w:rsidP="000B0E8E">
      <w:pPr>
        <w:rPr>
          <w:i/>
        </w:rPr>
      </w:pPr>
      <w:r w:rsidRPr="000B0E8E">
        <w:rPr>
          <w:i/>
        </w:rPr>
        <w:t>2.4. Preparation of PVIB Membrane</w:t>
      </w:r>
    </w:p>
    <w:p w14:paraId="26A5D4E8" w14:textId="77777777" w:rsidR="000B0E8E" w:rsidRPr="000B0E8E" w:rsidRDefault="000B0E8E" w:rsidP="000B0E8E">
      <w:r w:rsidRPr="000B0E8E">
        <w:t xml:space="preserve">Firstly, poly (vinylidene fluoride-co-hexafluoropropylene) (PVDF-co-HFP, 10 g) was dissolved in dimethylacetamide (500 mL). Then, saturated NaOH in isopropanol (10 mL) was added dropwise, over 30 min, while the solution was stirred vigorously at room temperature. During this step the colourless solution turned light brown in colour. The resulting dehydrofluorinated PVDF-co-HFP was then precipitated in water, filtered and then rinsed 3–4 times with deionised water and dried under vacuum at 70 </w:t>
      </w:r>
      <w:r w:rsidRPr="000B0E8E">
        <w:rPr>
          <w:iCs/>
        </w:rPr>
        <w:t xml:space="preserve">°C. </w:t>
      </w:r>
      <w:r w:rsidRPr="000B0E8E">
        <w:t xml:space="preserve">This polymer was then dissolved in a round-bottomed flask containing dimethylacetamide, </w:t>
      </w:r>
      <w:r w:rsidRPr="000B0E8E">
        <w:rPr>
          <w:i/>
          <w:iCs/>
        </w:rPr>
        <w:t>N</w:t>
      </w:r>
      <w:r w:rsidRPr="000B0E8E">
        <w:t xml:space="preserve">-vinylimidazole (20% </w:t>
      </w:r>
      <w:proofErr w:type="spellStart"/>
      <w:r w:rsidRPr="000B0E8E">
        <w:t>wt</w:t>
      </w:r>
      <w:proofErr w:type="spellEnd"/>
      <w:r w:rsidRPr="000B0E8E">
        <w:t xml:space="preserve">), and (vinylbenzyl)trimethylammonium chloride at different weight % concentrations (4%, 6%, 8% and 10%), giving four different types of PVIB membrane on the basis of the amount of (vinylbenzyl)trimethylammonium chloride added: PVIB-4, PVIB-6, PVIB-8 and PVIB-10, respectively. The copolymerisation reaction was initiated by addition of 0.1% of </w:t>
      </w:r>
      <w:proofErr w:type="spellStart"/>
      <w:r w:rsidRPr="000B0E8E">
        <w:t>azobisisobutyronitrile</w:t>
      </w:r>
      <w:proofErr w:type="spellEnd"/>
      <w:r w:rsidRPr="000B0E8E">
        <w:t xml:space="preserve"> (AIBN), and the mixture was continuously stirred at 60 °C for 8 h under an N</w:t>
      </w:r>
      <w:r w:rsidRPr="000B0E8E">
        <w:rPr>
          <w:vertAlign w:val="subscript"/>
        </w:rPr>
        <w:t>2</w:t>
      </w:r>
      <w:r w:rsidRPr="000B0E8E">
        <w:t xml:space="preserve"> atmosphere. The resulting viscous solution was cast onto a clean glass plate and dried under vacuum at 55 °C for 24 h. After this, the membrane was equilibrated in 1 M NaOH for 24 h to complete the exchange of Cl</w:t>
      </w:r>
      <w:r w:rsidRPr="000B0E8E">
        <w:rPr>
          <w:vertAlign w:val="superscript"/>
        </w:rPr>
        <w:t>−</w:t>
      </w:r>
      <w:r w:rsidRPr="000B0E8E">
        <w:t xml:space="preserve"> for OH</w:t>
      </w:r>
      <w:r w:rsidRPr="000B0E8E">
        <w:rPr>
          <w:vertAlign w:val="superscript"/>
        </w:rPr>
        <w:t>−</w:t>
      </w:r>
      <w:r w:rsidRPr="000B0E8E">
        <w:t xml:space="preserve">. These hydroxide-exchanged membranes were analysed after </w:t>
      </w:r>
      <w:proofErr w:type="gramStart"/>
      <w:r w:rsidRPr="000B0E8E">
        <w:t>thoroughly</w:t>
      </w:r>
      <w:proofErr w:type="gramEnd"/>
      <w:r w:rsidRPr="000B0E8E">
        <w:t xml:space="preserve"> washing with double distilled water 4–5 times.</w:t>
      </w:r>
    </w:p>
    <w:p w14:paraId="42E59B3A" w14:textId="77777777" w:rsidR="000B0E8E" w:rsidRPr="000B0E8E" w:rsidRDefault="000B0E8E" w:rsidP="000B0E8E">
      <w:pPr>
        <w:rPr>
          <w:bCs/>
          <w:i/>
        </w:rPr>
      </w:pPr>
      <w:r w:rsidRPr="000B0E8E">
        <w:rPr>
          <w:bCs/>
          <w:i/>
        </w:rPr>
        <w:t xml:space="preserve">2.5. </w:t>
      </w:r>
      <w:r w:rsidRPr="000B0E8E">
        <w:rPr>
          <w:i/>
        </w:rPr>
        <w:t>Characterisation of the PVIB Membrane</w:t>
      </w:r>
    </w:p>
    <w:p w14:paraId="7D80DCD4" w14:textId="77777777" w:rsidR="000B0E8E" w:rsidRPr="000B0E8E" w:rsidRDefault="000B0E8E" w:rsidP="000B0E8E">
      <w:r w:rsidRPr="000B0E8E">
        <w:t>A number of analytical techniques were used to characterise the structure, functional groups, surface and phase morphology of the as-prepared PVIB and its precursors. Functional group analysis of the samples was performed using the PerkinElmer FT-IR spectrometer. Surface and cross-sectional morphology on freshly prepared membranes was analysed on a field-emission electron microscope (FE-SEM) using a JEOL JEM 7100F (USA) instrument. TEM images were recorded with a JEOL JEM 2100 microscope. Scanning electron microscopy on membranes after use in the PVIB-based electrolyser was performed with a Philips XL30 ESEM instrument equipped with an Oxford Instruments Energy 250 energy dispersive spectrometer system at an acceleration voltage of 20 kV. Following use in a lignin-oxidising electrolyser, membranes were thoroughly washed and then submerged in ultrapure water for 2 h, before being oven-dried for 4 h at 55 °C. Samples cut from the membrane were then loaded onto 12 mm AGAR scientific conductive carbon tabs. Images were obtained with acceleration voltages between 12 kV and 20 kV.</w:t>
      </w:r>
    </w:p>
    <w:p w14:paraId="53A4AC46" w14:textId="77777777" w:rsidR="000B0E8E" w:rsidRPr="000B0E8E" w:rsidRDefault="000B0E8E" w:rsidP="000B0E8E">
      <w:r w:rsidRPr="000B0E8E">
        <w:t>To measure the ion-exchange capacity, 2.5 × 2.5 cm</w:t>
      </w:r>
      <w:r w:rsidRPr="000B0E8E">
        <w:rPr>
          <w:vertAlign w:val="superscript"/>
        </w:rPr>
        <w:t>2</w:t>
      </w:r>
      <w:r w:rsidRPr="000B0E8E">
        <w:t xml:space="preserve"> fragments of the prepared membrane were submerged in 1.0 N </w:t>
      </w:r>
      <w:proofErr w:type="spellStart"/>
      <w:r w:rsidRPr="000B0E8E">
        <w:t>NaCl</w:t>
      </w:r>
      <w:proofErr w:type="spellEnd"/>
      <w:r w:rsidRPr="000B0E8E">
        <w:t xml:space="preserve"> (AR grade) solution for 24 h in order for the membrane to be entirely converted to the form with the chloride counter ion. These membrane squares were then removed </w:t>
      </w:r>
      <w:r w:rsidRPr="000B0E8E">
        <w:lastRenderedPageBreak/>
        <w:t>from solution, thoroughly washed with ultra-pure water and equilibrated in deionised water for 2 h to remove any excess chloride ions from the membrane surface. Finally, the membrane squares were dried in a vacuum oven for 4 h at 55 °C and then weighed. The chloride-saturated membrane was subsequently immersed in 0.1 M Na</w:t>
      </w:r>
      <w:r w:rsidRPr="000B0E8E">
        <w:rPr>
          <w:vertAlign w:val="subscript"/>
        </w:rPr>
        <w:t>2</w:t>
      </w:r>
      <w:r w:rsidRPr="000B0E8E">
        <w:t>SO</w:t>
      </w:r>
      <w:r w:rsidRPr="000B0E8E">
        <w:rPr>
          <w:vertAlign w:val="subscript"/>
        </w:rPr>
        <w:t>4</w:t>
      </w:r>
      <w:r w:rsidRPr="000B0E8E">
        <w:t xml:space="preserve"> in order to allow exchange of the chloride counter ions for SO</w:t>
      </w:r>
      <w:r w:rsidRPr="000B0E8E">
        <w:rPr>
          <w:vertAlign w:val="subscript"/>
        </w:rPr>
        <w:t>4</w:t>
      </w:r>
      <w:r w:rsidRPr="000B0E8E">
        <w:rPr>
          <w:vertAlign w:val="superscript"/>
        </w:rPr>
        <w:t>2−</w:t>
      </w:r>
      <w:r w:rsidRPr="000B0E8E">
        <w:t>. The chloride ions thus released into solution were titrated by Mohr’s method using 0.001 N AgNO</w:t>
      </w:r>
      <w:r w:rsidRPr="000B0E8E">
        <w:rPr>
          <w:vertAlign w:val="subscript"/>
        </w:rPr>
        <w:t>3</w:t>
      </w:r>
      <w:r w:rsidRPr="000B0E8E">
        <w:t xml:space="preserve"> and dichromate solution as the indicator. The ion-exchange capacity (IEC) was then determined using the formula in Equation (1), where </w:t>
      </w:r>
      <w:r w:rsidRPr="000B0E8E">
        <w:rPr>
          <w:i/>
        </w:rPr>
        <w:t>V</w:t>
      </w:r>
      <w:r w:rsidRPr="000B0E8E">
        <w:rPr>
          <w:vertAlign w:val="subscript"/>
        </w:rPr>
        <w:t>AgNO3</w:t>
      </w:r>
      <w:r w:rsidRPr="000B0E8E">
        <w:t xml:space="preserve"> is the volume of 0.001 N AgNO</w:t>
      </w:r>
      <w:r w:rsidRPr="000B0E8E">
        <w:rPr>
          <w:vertAlign w:val="subscript"/>
        </w:rPr>
        <w:t>3</w:t>
      </w:r>
      <w:r w:rsidRPr="000B0E8E">
        <w:t xml:space="preserve"> solution added and </w:t>
      </w:r>
      <w:proofErr w:type="spellStart"/>
      <w:r w:rsidRPr="000B0E8E">
        <w:rPr>
          <w:i/>
        </w:rPr>
        <w:t>M</w:t>
      </w:r>
      <w:r w:rsidRPr="000B0E8E">
        <w:rPr>
          <w:vertAlign w:val="subscript"/>
        </w:rPr>
        <w:t>Dry</w:t>
      </w:r>
      <w:proofErr w:type="spellEnd"/>
      <w:r w:rsidRPr="000B0E8E">
        <w:t xml:space="preserve"> is the dry mass of the membrane square:</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0B0E8E" w:rsidRPr="000B0E8E" w14:paraId="689A2E33" w14:textId="77777777" w:rsidTr="00AF6315">
        <w:trPr>
          <w:trHeight w:val="340"/>
        </w:trPr>
        <w:tc>
          <w:tcPr>
            <w:tcW w:w="7426" w:type="dxa"/>
            <w:shd w:val="clear" w:color="auto" w:fill="auto"/>
            <w:vAlign w:val="center"/>
          </w:tcPr>
          <w:p w14:paraId="6F71CBA0" w14:textId="7188CCB4" w:rsidR="000B0E8E" w:rsidRPr="000B0E8E" w:rsidRDefault="000B0E8E" w:rsidP="000B0E8E">
            <w:pPr>
              <w:ind w:left="-2608" w:right="1245"/>
            </w:pPr>
            <m:oMathPara>
              <m:oMathParaPr>
                <m:jc m:val="center"/>
              </m:oMathParaPr>
              <m:oMath>
                <m:r>
                  <m:rPr>
                    <m:sty m:val="p"/>
                  </m:rPr>
                  <w:rPr>
                    <w:rFonts w:ascii="Cambria Math" w:hAnsi="Cambria Math"/>
                  </w:rPr>
                  <m:t xml:space="preserve">IEC </m:t>
                </m:r>
                <m:d>
                  <m:dPr>
                    <m:ctrlPr>
                      <w:rPr>
                        <w:rFonts w:ascii="Cambria Math" w:hAnsi="Cambria Math"/>
                      </w:rPr>
                    </m:ctrlPr>
                  </m:dPr>
                  <m:e>
                    <m:r>
                      <m:rPr>
                        <m:sty m:val="p"/>
                      </m:rPr>
                      <w:rPr>
                        <w:rFonts w:ascii="Cambria Math" w:hAnsi="Cambria Math"/>
                      </w:rPr>
                      <m:t xml:space="preserve">meq </m:t>
                    </m:r>
                    <m:sSup>
                      <m:sSupPr>
                        <m:ctrlPr>
                          <w:rPr>
                            <w:rFonts w:ascii="Cambria Math" w:hAnsi="Cambria Math"/>
                          </w:rPr>
                        </m:ctrlPr>
                      </m:sSupPr>
                      <m:e>
                        <m:r>
                          <m:rPr>
                            <m:sty m:val="p"/>
                          </m:rPr>
                          <w:rPr>
                            <w:rFonts w:ascii="Cambria Math" w:hAnsi="Cambria Math"/>
                          </w:rPr>
                          <m:t>g</m:t>
                        </m:r>
                      </m:e>
                      <m:sup>
                        <m:r>
                          <w:rPr>
                            <w:rFonts w:ascii="Cambria Math" w:hAnsi="Cambria Math"/>
                          </w:rPr>
                          <m:t>-1</m:t>
                        </m:r>
                      </m:sup>
                    </m:sSup>
                  </m:e>
                </m:d>
                <m:r>
                  <m:rPr>
                    <m:sty m:val="p"/>
                  </m:rPr>
                  <w:rPr>
                    <w:rFonts w:ascii="Cambria Math" w:hAnsi="Cambria Math"/>
                  </w:rPr>
                  <m:t>=</m:t>
                </m:r>
                <m:f>
                  <m:fPr>
                    <m:ctrlPr>
                      <w:rPr>
                        <w:rFonts w:ascii="Cambria Math" w:hAnsi="Cambria Math"/>
                        <w:iCs/>
                      </w:rPr>
                    </m:ctrlPr>
                  </m:fPr>
                  <m:num>
                    <m:r>
                      <m:rPr>
                        <m:sty m:val="p"/>
                      </m:rPr>
                      <w:rPr>
                        <w:rFonts w:ascii="Cambria Math" w:hAnsi="Cambria Math"/>
                      </w:rPr>
                      <m:t xml:space="preserve">0.001 N </m:t>
                    </m:r>
                    <m:sSub>
                      <m:sSubPr>
                        <m:ctrlPr>
                          <w:rPr>
                            <w:rFonts w:ascii="Cambria Math" w:hAnsi="Cambria Math"/>
                            <w:iCs/>
                          </w:rPr>
                        </m:ctrlPr>
                      </m:sSubPr>
                      <m:e>
                        <m:r>
                          <m:rPr>
                            <m:sty m:val="p"/>
                          </m:rPr>
                          <w:rPr>
                            <w:rFonts w:ascii="Cambria Math" w:hAnsi="Cambria Math"/>
                          </w:rPr>
                          <m:t>×</m:t>
                        </m:r>
                        <m:r>
                          <w:rPr>
                            <w:rFonts w:ascii="Cambria Math" w:hAnsi="Cambria Math"/>
                          </w:rPr>
                          <m:t>V</m:t>
                        </m:r>
                      </m:e>
                      <m:sub>
                        <m:r>
                          <m:rPr>
                            <m:sty m:val="p"/>
                          </m:rPr>
                          <w:rPr>
                            <w:rFonts w:ascii="Cambria Math" w:hAnsi="Cambria Math"/>
                          </w:rPr>
                          <m:t>AgN</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sub>
                    </m:sSub>
                  </m:num>
                  <m:den>
                    <m:sSub>
                      <m:sSubPr>
                        <m:ctrlPr>
                          <w:rPr>
                            <w:rFonts w:ascii="Cambria Math" w:hAnsi="Cambria Math"/>
                            <w:iCs/>
                          </w:rPr>
                        </m:ctrlPr>
                      </m:sSubPr>
                      <m:e>
                        <m:r>
                          <w:rPr>
                            <w:rFonts w:ascii="Cambria Math" w:hAnsi="Cambria Math"/>
                          </w:rPr>
                          <m:t>M</m:t>
                        </m:r>
                      </m:e>
                      <m:sub>
                        <m:r>
                          <m:rPr>
                            <m:sty m:val="p"/>
                          </m:rPr>
                          <w:rPr>
                            <w:rFonts w:ascii="Cambria Math" w:hAnsi="Cambria Math"/>
                          </w:rPr>
                          <m:t>Dry</m:t>
                        </m:r>
                      </m:sub>
                    </m:sSub>
                  </m:den>
                </m:f>
                <m:r>
                  <w:rPr>
                    <w:rFonts w:ascii="Cambria Math" w:hAnsi="Cambria Math"/>
                  </w:rPr>
                  <m:t xml:space="preserve"> </m:t>
                </m:r>
              </m:oMath>
            </m:oMathPara>
          </w:p>
        </w:tc>
        <w:tc>
          <w:tcPr>
            <w:tcW w:w="430" w:type="dxa"/>
            <w:shd w:val="clear" w:color="auto" w:fill="auto"/>
            <w:vAlign w:val="center"/>
          </w:tcPr>
          <w:p w14:paraId="7B9D9CED" w14:textId="77777777" w:rsidR="000B0E8E" w:rsidRPr="000B0E8E" w:rsidRDefault="000B0E8E" w:rsidP="000B0E8E">
            <w:pPr>
              <w:ind w:left="-1670" w:right="1250"/>
            </w:pPr>
            <w:r w:rsidRPr="000B0E8E">
              <w:t>(</w:t>
            </w:r>
            <w:fldSimple w:instr=" seq EquationSeq \* \Arabic ">
              <w:r w:rsidRPr="000B0E8E">
                <w:t>1</w:t>
              </w:r>
            </w:fldSimple>
            <w:r w:rsidRPr="000B0E8E">
              <w:t>)</w:t>
            </w:r>
          </w:p>
        </w:tc>
      </w:tr>
    </w:tbl>
    <w:p w14:paraId="7DEB4F56" w14:textId="77777777" w:rsidR="000B0E8E" w:rsidRPr="000B0E8E" w:rsidRDefault="000B0E8E" w:rsidP="000B0E8E">
      <w:r w:rsidRPr="000B0E8E">
        <w:t xml:space="preserve">The ionic conductivity (σ) of the prepared membranes was measured at 30 °C using AC impedance spectroscopy with an </w:t>
      </w:r>
      <w:proofErr w:type="spellStart"/>
      <w:r w:rsidRPr="000B0E8E">
        <w:t>AutoLab</w:t>
      </w:r>
      <w:proofErr w:type="spellEnd"/>
      <w:r w:rsidRPr="000B0E8E">
        <w:t xml:space="preserve"> Model PGSTAT 30 potentiostat/galvanostat frequency response analyser. This instrument was connected to the conductivity cell. The conductivity cell itself was made in-house and consisted of two circular stainless-steel electrodes (each of effective area 1.0 cm</w:t>
      </w:r>
      <w:r w:rsidRPr="000B0E8E">
        <w:rPr>
          <w:vertAlign w:val="superscript"/>
        </w:rPr>
        <w:t>2</w:t>
      </w:r>
      <w:r w:rsidRPr="000B0E8E">
        <w:t xml:space="preserve">), each of which was encased in an acrylic outer cylinder (approximately 2 cm thick). The membrane was sandwiched between the two stainless-steel electrodes using 0.1 M </w:t>
      </w:r>
      <w:proofErr w:type="spellStart"/>
      <w:r w:rsidRPr="000B0E8E">
        <w:t>NaCl</w:t>
      </w:r>
      <w:proofErr w:type="spellEnd"/>
      <w:r w:rsidRPr="000B0E8E">
        <w:t xml:space="preserve"> as the conducting medium. The frequency of sinusoidal current perturbation was swept from 1 MHz to 1 Hz over the course of each experiment, and the current demanded was swept at 1 </w:t>
      </w:r>
      <w:proofErr w:type="spellStart"/>
      <w:r w:rsidRPr="000B0E8E">
        <w:t>μA</w:t>
      </w:r>
      <w:proofErr w:type="spellEnd"/>
      <w:r w:rsidRPr="000B0E8E">
        <w:t xml:space="preserve"> per second. The resulting Nyquist plot was then used to obtain the resistance of the membrane. The conductivity of the membrane was calculated by entering values for the membrane area (</w:t>
      </w:r>
      <w:r w:rsidRPr="000B0E8E">
        <w:rPr>
          <w:i/>
        </w:rPr>
        <w:t>A</w:t>
      </w:r>
      <w:r w:rsidRPr="000B0E8E">
        <w:t xml:space="preserve">), the distance between the electrodes (i.e., membrane thickness, </w:t>
      </w:r>
      <w:r w:rsidRPr="000B0E8E">
        <w:rPr>
          <w:i/>
        </w:rPr>
        <w:t>L</w:t>
      </w:r>
      <w:r w:rsidRPr="000B0E8E">
        <w:t>) and the resistance (</w:t>
      </w:r>
      <w:r w:rsidRPr="000B0E8E">
        <w:rPr>
          <w:i/>
        </w:rPr>
        <w:t>R</w:t>
      </w:r>
      <w:r w:rsidRPr="000B0E8E">
        <w:t>) into Equation (2) below:</w:t>
      </w:r>
    </w:p>
    <w:tbl>
      <w:tblPr>
        <w:tblW w:w="0" w:type="dxa"/>
        <w:tblInd w:w="2608" w:type="dxa"/>
        <w:tblLayout w:type="fixed"/>
        <w:tblCellMar>
          <w:left w:w="0" w:type="dxa"/>
          <w:right w:w="0" w:type="dxa"/>
        </w:tblCellMar>
        <w:tblLook w:val="0000" w:firstRow="0" w:lastRow="0" w:firstColumn="0" w:lastColumn="0" w:noHBand="0" w:noVBand="0"/>
      </w:tblPr>
      <w:tblGrid>
        <w:gridCol w:w="7426"/>
        <w:gridCol w:w="430"/>
      </w:tblGrid>
      <w:tr w:rsidR="000B0E8E" w:rsidRPr="000B0E8E" w14:paraId="41797A6F" w14:textId="77777777" w:rsidTr="00AF6315">
        <w:trPr>
          <w:trHeight w:val="340"/>
        </w:trPr>
        <w:tc>
          <w:tcPr>
            <w:tcW w:w="7426" w:type="dxa"/>
            <w:shd w:val="clear" w:color="auto" w:fill="auto"/>
            <w:vAlign w:val="center"/>
          </w:tcPr>
          <w:p w14:paraId="474F9D43" w14:textId="5B9522EE" w:rsidR="000B0E8E" w:rsidRPr="000B0E8E" w:rsidRDefault="000B0E8E" w:rsidP="000B0E8E">
            <w:pPr>
              <w:ind w:left="-2324" w:right="1387"/>
            </w:pPr>
            <m:oMathPara>
              <m:oMath>
                <m:r>
                  <m:rPr>
                    <m:sty m:val="p"/>
                  </m:rPr>
                  <w:rPr>
                    <w:rFonts w:ascii="Cambria Math" w:hAnsi="Cambria Math"/>
                  </w:rPr>
                  <m:t xml:space="preserve">σ </m:t>
                </m:r>
                <m:d>
                  <m:dPr>
                    <m:ctrlPr>
                      <w:rPr>
                        <w:rFonts w:ascii="Cambria Math" w:hAnsi="Cambria Math"/>
                      </w:rPr>
                    </m:ctrlPr>
                  </m:dPr>
                  <m:e>
                    <m:r>
                      <m:rPr>
                        <m:sty m:val="p"/>
                      </m:rPr>
                      <w:rPr>
                        <w:rFonts w:ascii="Cambria Math" w:hAnsi="Cambria Math"/>
                      </w:rPr>
                      <m:t xml:space="preserve">S </m:t>
                    </m:r>
                    <m:sSup>
                      <m:sSupPr>
                        <m:ctrlPr>
                          <w:rPr>
                            <w:rFonts w:ascii="Cambria Math" w:hAnsi="Cambria Math"/>
                            <w:iCs/>
                          </w:rPr>
                        </m:ctrlPr>
                      </m:sSupPr>
                      <m:e>
                        <m:r>
                          <m:rPr>
                            <m:sty m:val="p"/>
                          </m:rPr>
                          <w:rPr>
                            <w:rFonts w:ascii="Cambria Math" w:hAnsi="Cambria Math"/>
                          </w:rPr>
                          <m:t>cm</m:t>
                        </m:r>
                      </m:e>
                      <m:sup>
                        <m:r>
                          <m:rPr>
                            <m:sty m:val="p"/>
                          </m:rPr>
                          <w:rPr>
                            <w:rFonts w:ascii="Cambria Math" w:hAnsi="Cambria Math"/>
                          </w:rPr>
                          <m:t>-1</m:t>
                        </m:r>
                      </m:sup>
                    </m:sSup>
                  </m:e>
                </m:d>
                <m:r>
                  <m:rPr>
                    <m:sty m:val="p"/>
                  </m:rPr>
                  <w:rPr>
                    <w:rFonts w:ascii="Cambria Math" w:hAnsi="Cambria Math"/>
                  </w:rPr>
                  <m:t>=</m:t>
                </m:r>
                <m:f>
                  <m:fPr>
                    <m:ctrlPr>
                      <w:rPr>
                        <w:rFonts w:ascii="Cambria Math" w:hAnsi="Cambria Math"/>
                        <w:iCs/>
                      </w:rPr>
                    </m:ctrlPr>
                  </m:fPr>
                  <m:num>
                    <m:r>
                      <w:rPr>
                        <w:rFonts w:ascii="Cambria Math" w:hAnsi="Cambria Math"/>
                      </w:rPr>
                      <m:t xml:space="preserve">L </m:t>
                    </m:r>
                    <m:d>
                      <m:dPr>
                        <m:ctrlPr>
                          <w:rPr>
                            <w:rFonts w:ascii="Cambria Math" w:hAnsi="Cambria Math"/>
                          </w:rPr>
                        </m:ctrlPr>
                      </m:dPr>
                      <m:e>
                        <m:r>
                          <m:rPr>
                            <m:sty m:val="p"/>
                          </m:rPr>
                          <w:rPr>
                            <w:rFonts w:ascii="Cambria Math" w:hAnsi="Cambria Math"/>
                          </w:rPr>
                          <m:t>cm</m:t>
                        </m:r>
                      </m:e>
                    </m:d>
                  </m:num>
                  <m:den>
                    <m:r>
                      <w:rPr>
                        <w:rFonts w:ascii="Cambria Math" w:hAnsi="Cambria Math"/>
                      </w:rPr>
                      <m:t>R</m: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Ω</m:t>
                        </m:r>
                      </m:e>
                    </m:d>
                    <m:r>
                      <m:rPr>
                        <m:sty m:val="p"/>
                      </m:rPr>
                      <w:rPr>
                        <w:rFonts w:ascii="Cambria Math" w:hAnsi="Cambria Math"/>
                      </w:rPr>
                      <m:t xml:space="preserve"> × </m:t>
                    </m:r>
                    <m:r>
                      <w:rPr>
                        <w:rFonts w:ascii="Cambria Math" w:hAnsi="Cambria Math"/>
                      </w:rPr>
                      <m:t>A</m:t>
                    </m:r>
                    <m:r>
                      <m:rPr>
                        <m:sty m:val="p"/>
                      </m:rPr>
                      <w:rPr>
                        <w:rFonts w:ascii="Cambria Math" w:hAnsi="Cambria Math"/>
                      </w:rPr>
                      <m:t xml:space="preserve"> </m:t>
                    </m:r>
                    <m:d>
                      <m:dPr>
                        <m:ctrlPr>
                          <w:rPr>
                            <w:rFonts w:ascii="Cambria Math" w:hAnsi="Cambria Math"/>
                          </w:rPr>
                        </m:ctrlPr>
                      </m:dPr>
                      <m:e>
                        <m:sSup>
                          <m:sSupPr>
                            <m:ctrlPr>
                              <w:rPr>
                                <w:rFonts w:ascii="Cambria Math" w:hAnsi="Cambria Math"/>
                                <w:iCs/>
                              </w:rPr>
                            </m:ctrlPr>
                          </m:sSupPr>
                          <m:e>
                            <m:r>
                              <m:rPr>
                                <m:sty m:val="p"/>
                              </m:rPr>
                              <w:rPr>
                                <w:rFonts w:ascii="Cambria Math" w:hAnsi="Cambria Math"/>
                              </w:rPr>
                              <m:t>cm</m:t>
                            </m:r>
                          </m:e>
                          <m:sup>
                            <m:r>
                              <m:rPr>
                                <m:sty m:val="p"/>
                              </m:rPr>
                              <w:rPr>
                                <w:rFonts w:ascii="Cambria Math" w:hAnsi="Cambria Math"/>
                              </w:rPr>
                              <m:t>2</m:t>
                            </m:r>
                          </m:sup>
                        </m:sSup>
                      </m:e>
                    </m:d>
                  </m:den>
                </m:f>
                <m:r>
                  <w:rPr>
                    <w:rFonts w:ascii="Cambria Math" w:hAnsi="Cambria Math"/>
                  </w:rPr>
                  <m:t xml:space="preserve">  </m:t>
                </m:r>
              </m:oMath>
            </m:oMathPara>
            <w:bookmarkStart w:id="0" w:name="_GoBack"/>
            <w:bookmarkEnd w:id="0"/>
          </w:p>
        </w:tc>
        <w:tc>
          <w:tcPr>
            <w:tcW w:w="430" w:type="dxa"/>
            <w:shd w:val="clear" w:color="auto" w:fill="auto"/>
            <w:vAlign w:val="center"/>
          </w:tcPr>
          <w:p w14:paraId="5450F951" w14:textId="575A793C" w:rsidR="000B0E8E" w:rsidRPr="000B0E8E" w:rsidRDefault="000B0E8E" w:rsidP="000B0E8E"/>
        </w:tc>
      </w:tr>
    </w:tbl>
    <w:p w14:paraId="6C5ABE47" w14:textId="77777777" w:rsidR="000B0E8E" w:rsidRPr="000B0E8E" w:rsidRDefault="000B0E8E" w:rsidP="000B0E8E">
      <w:r w:rsidRPr="000B0E8E">
        <w:t>The mechanical strength of the membrane samples (rectangular pieces of size 26 cm</w:t>
      </w:r>
      <w:r w:rsidRPr="000B0E8E">
        <w:rPr>
          <w:vertAlign w:val="superscript"/>
        </w:rPr>
        <w:t>2</w:t>
      </w:r>
      <w:r w:rsidRPr="000B0E8E">
        <w:t>) was studied by using a bursting strength tester machine (model No. 807DMP, Test Techno Consultants, Gujarat, India). The stability of the prepared PVIB membranes in alkaline media was studied by immersing the membranes in 5.0 M NaOH for 72 h at 30 °C. The mass and conductivity of the treated membranes were unaltered by this treatment, suggesting that they are stable in alkaline media at room temperature for at least 72 h.</w:t>
      </w:r>
    </w:p>
    <w:p w14:paraId="19CC5084" w14:textId="44E9E297" w:rsidR="006725B1" w:rsidRPr="00031E4D" w:rsidRDefault="006725B1" w:rsidP="00A60819"/>
    <w:sectPr w:rsidR="006725B1" w:rsidRPr="00031E4D">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2646F6" w15:done="0"/>
  <w15:commentEx w15:paraId="7A44F314" w15:done="0"/>
  <w15:commentEx w15:paraId="5DFCB388" w15:done="0"/>
  <w15:commentEx w15:paraId="11E7C6A3" w15:paraIdParent="5DFCB3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27A9" w16cex:dateUtc="2021-01-12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2646F6" w16cid:durableId="23A8277E"/>
  <w16cid:commentId w16cid:paraId="7A44F314" w16cid:durableId="23A8277F"/>
  <w16cid:commentId w16cid:paraId="5DFCB388" w16cid:durableId="23A82780"/>
  <w16cid:commentId w16cid:paraId="11E7C6A3" w16cid:durableId="23A827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B79C" w14:textId="77777777" w:rsidR="009C5F9C" w:rsidRDefault="009C5F9C" w:rsidP="00F21B77">
      <w:pPr>
        <w:spacing w:after="0" w:line="240" w:lineRule="auto"/>
      </w:pPr>
      <w:r>
        <w:separator/>
      </w:r>
    </w:p>
  </w:endnote>
  <w:endnote w:type="continuationSeparator" w:id="0">
    <w:p w14:paraId="5285843A" w14:textId="77777777" w:rsidR="009C5F9C" w:rsidRDefault="009C5F9C" w:rsidP="00F21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533046"/>
      <w:docPartObj>
        <w:docPartGallery w:val="Page Numbers (Bottom of Page)"/>
        <w:docPartUnique/>
      </w:docPartObj>
    </w:sdtPr>
    <w:sdtEndPr>
      <w:rPr>
        <w:noProof/>
      </w:rPr>
    </w:sdtEndPr>
    <w:sdtContent>
      <w:p w14:paraId="48FC27B2" w14:textId="05FD4100" w:rsidR="00B54CDF" w:rsidRDefault="00B54CDF">
        <w:pPr>
          <w:pStyle w:val="Footer"/>
          <w:jc w:val="center"/>
        </w:pPr>
        <w:r>
          <w:t>S</w:t>
        </w:r>
        <w:r>
          <w:fldChar w:fldCharType="begin"/>
        </w:r>
        <w:r>
          <w:instrText xml:space="preserve"> PAGE   \* MERGEFORMAT </w:instrText>
        </w:r>
        <w:r>
          <w:fldChar w:fldCharType="separate"/>
        </w:r>
        <w:r w:rsidR="000B0E8E">
          <w:rPr>
            <w:noProof/>
          </w:rPr>
          <w:t>4</w:t>
        </w:r>
        <w:r>
          <w:rPr>
            <w:noProof/>
          </w:rPr>
          <w:fldChar w:fldCharType="end"/>
        </w:r>
      </w:p>
    </w:sdtContent>
  </w:sdt>
  <w:p w14:paraId="57600097" w14:textId="77777777" w:rsidR="00B54CDF" w:rsidRDefault="00B54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B5BF7" w14:textId="77777777" w:rsidR="009C5F9C" w:rsidRDefault="009C5F9C" w:rsidP="00F21B77">
      <w:pPr>
        <w:spacing w:after="0" w:line="240" w:lineRule="auto"/>
      </w:pPr>
      <w:r>
        <w:separator/>
      </w:r>
    </w:p>
  </w:footnote>
  <w:footnote w:type="continuationSeparator" w:id="0">
    <w:p w14:paraId="1995B943" w14:textId="77777777" w:rsidR="009C5F9C" w:rsidRDefault="009C5F9C" w:rsidP="00F21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100DB"/>
    <w:multiLevelType w:val="hybridMultilevel"/>
    <w:tmpl w:val="A84AB060"/>
    <w:lvl w:ilvl="0" w:tplc="04766D6E">
      <w:start w:val="1"/>
      <w:numFmt w:val="bullet"/>
      <w:pStyle w:val="ListParagraph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vishek Paul">
    <w15:presenceInfo w15:providerId="None" w15:userId="Avishek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E0NrK0NDQwMrE0MzFS0lEKTi0uzszPAykwqgUAgwFECiwAAAA="/>
  </w:docVars>
  <w:rsids>
    <w:rsidRoot w:val="003837E3"/>
    <w:rsid w:val="00001F00"/>
    <w:rsid w:val="00002883"/>
    <w:rsid w:val="00003656"/>
    <w:rsid w:val="00003F50"/>
    <w:rsid w:val="000112CF"/>
    <w:rsid w:val="000162BF"/>
    <w:rsid w:val="00024454"/>
    <w:rsid w:val="00031E4D"/>
    <w:rsid w:val="00035EDF"/>
    <w:rsid w:val="00053C9B"/>
    <w:rsid w:val="00054AE0"/>
    <w:rsid w:val="00064CD9"/>
    <w:rsid w:val="00076E52"/>
    <w:rsid w:val="00081068"/>
    <w:rsid w:val="00083E89"/>
    <w:rsid w:val="000937CC"/>
    <w:rsid w:val="00096E46"/>
    <w:rsid w:val="000A3322"/>
    <w:rsid w:val="000A6199"/>
    <w:rsid w:val="000B096B"/>
    <w:rsid w:val="000B0E8E"/>
    <w:rsid w:val="000B17FB"/>
    <w:rsid w:val="000B45C5"/>
    <w:rsid w:val="000B470A"/>
    <w:rsid w:val="000C0EF4"/>
    <w:rsid w:val="000C5EAE"/>
    <w:rsid w:val="000D3618"/>
    <w:rsid w:val="000D50C5"/>
    <w:rsid w:val="000E3356"/>
    <w:rsid w:val="000E4D7A"/>
    <w:rsid w:val="000E7BBE"/>
    <w:rsid w:val="000E7C04"/>
    <w:rsid w:val="000F06CD"/>
    <w:rsid w:val="000F19CD"/>
    <w:rsid w:val="00110401"/>
    <w:rsid w:val="00123698"/>
    <w:rsid w:val="00124AEE"/>
    <w:rsid w:val="00125736"/>
    <w:rsid w:val="00130830"/>
    <w:rsid w:val="00140D44"/>
    <w:rsid w:val="0014118F"/>
    <w:rsid w:val="00141D24"/>
    <w:rsid w:val="00150A63"/>
    <w:rsid w:val="001517A0"/>
    <w:rsid w:val="001519CC"/>
    <w:rsid w:val="00151BCB"/>
    <w:rsid w:val="00166234"/>
    <w:rsid w:val="00167B3C"/>
    <w:rsid w:val="0017665F"/>
    <w:rsid w:val="0018234E"/>
    <w:rsid w:val="00182862"/>
    <w:rsid w:val="001839BD"/>
    <w:rsid w:val="00187CBF"/>
    <w:rsid w:val="0019131A"/>
    <w:rsid w:val="001919BA"/>
    <w:rsid w:val="001A5AC9"/>
    <w:rsid w:val="001B2EF6"/>
    <w:rsid w:val="001B43A4"/>
    <w:rsid w:val="001B608E"/>
    <w:rsid w:val="001B77E6"/>
    <w:rsid w:val="001C1135"/>
    <w:rsid w:val="001C345F"/>
    <w:rsid w:val="001C4D83"/>
    <w:rsid w:val="001D5F28"/>
    <w:rsid w:val="001E017F"/>
    <w:rsid w:val="001E337C"/>
    <w:rsid w:val="001E6C4B"/>
    <w:rsid w:val="001F41FC"/>
    <w:rsid w:val="001F469C"/>
    <w:rsid w:val="001F496F"/>
    <w:rsid w:val="001F51B2"/>
    <w:rsid w:val="001F5C04"/>
    <w:rsid w:val="001F705A"/>
    <w:rsid w:val="001F771C"/>
    <w:rsid w:val="001F7D0D"/>
    <w:rsid w:val="00202E3A"/>
    <w:rsid w:val="00204C00"/>
    <w:rsid w:val="002100F2"/>
    <w:rsid w:val="002109CB"/>
    <w:rsid w:val="00214FDC"/>
    <w:rsid w:val="00215C51"/>
    <w:rsid w:val="00216CA7"/>
    <w:rsid w:val="002238A2"/>
    <w:rsid w:val="00223F86"/>
    <w:rsid w:val="0022413C"/>
    <w:rsid w:val="002241CF"/>
    <w:rsid w:val="00241398"/>
    <w:rsid w:val="00241DBA"/>
    <w:rsid w:val="00247730"/>
    <w:rsid w:val="002525C9"/>
    <w:rsid w:val="00255D86"/>
    <w:rsid w:val="0027301E"/>
    <w:rsid w:val="002733BD"/>
    <w:rsid w:val="00273AD2"/>
    <w:rsid w:val="0028507E"/>
    <w:rsid w:val="0028624E"/>
    <w:rsid w:val="0028724B"/>
    <w:rsid w:val="002A1962"/>
    <w:rsid w:val="002A6BC3"/>
    <w:rsid w:val="002B12FB"/>
    <w:rsid w:val="002B1E2A"/>
    <w:rsid w:val="002B2A58"/>
    <w:rsid w:val="002D10FD"/>
    <w:rsid w:val="002D1A90"/>
    <w:rsid w:val="002D278E"/>
    <w:rsid w:val="002D42F8"/>
    <w:rsid w:val="002E0F8A"/>
    <w:rsid w:val="002E6F5A"/>
    <w:rsid w:val="00301777"/>
    <w:rsid w:val="00307B26"/>
    <w:rsid w:val="00322770"/>
    <w:rsid w:val="00325923"/>
    <w:rsid w:val="003263F7"/>
    <w:rsid w:val="00337686"/>
    <w:rsid w:val="003400E7"/>
    <w:rsid w:val="00357C3C"/>
    <w:rsid w:val="00362BDB"/>
    <w:rsid w:val="00371D0F"/>
    <w:rsid w:val="00374760"/>
    <w:rsid w:val="0037726D"/>
    <w:rsid w:val="00383572"/>
    <w:rsid w:val="003837E3"/>
    <w:rsid w:val="0039079B"/>
    <w:rsid w:val="003979FE"/>
    <w:rsid w:val="003A6AFD"/>
    <w:rsid w:val="003B4DA5"/>
    <w:rsid w:val="003C4DB1"/>
    <w:rsid w:val="003C6FF3"/>
    <w:rsid w:val="003D3BF3"/>
    <w:rsid w:val="003F17BF"/>
    <w:rsid w:val="003F4B14"/>
    <w:rsid w:val="003F7840"/>
    <w:rsid w:val="00404A71"/>
    <w:rsid w:val="00404EE3"/>
    <w:rsid w:val="00405837"/>
    <w:rsid w:val="0040780E"/>
    <w:rsid w:val="004202DE"/>
    <w:rsid w:val="00422363"/>
    <w:rsid w:val="00422E57"/>
    <w:rsid w:val="00427C02"/>
    <w:rsid w:val="00430C68"/>
    <w:rsid w:val="004360A3"/>
    <w:rsid w:val="00437B6F"/>
    <w:rsid w:val="0046216F"/>
    <w:rsid w:val="004662EB"/>
    <w:rsid w:val="0046671D"/>
    <w:rsid w:val="00470C76"/>
    <w:rsid w:val="00473DBD"/>
    <w:rsid w:val="00481AE8"/>
    <w:rsid w:val="00481EE6"/>
    <w:rsid w:val="00484696"/>
    <w:rsid w:val="00490353"/>
    <w:rsid w:val="00493156"/>
    <w:rsid w:val="004944F8"/>
    <w:rsid w:val="00494D03"/>
    <w:rsid w:val="004A41F2"/>
    <w:rsid w:val="004C5122"/>
    <w:rsid w:val="004C6F7A"/>
    <w:rsid w:val="004D1C60"/>
    <w:rsid w:val="004D559F"/>
    <w:rsid w:val="004D5A58"/>
    <w:rsid w:val="004E59AD"/>
    <w:rsid w:val="004F71F3"/>
    <w:rsid w:val="00503627"/>
    <w:rsid w:val="00513D13"/>
    <w:rsid w:val="00520E9C"/>
    <w:rsid w:val="00521D7E"/>
    <w:rsid w:val="00521FB4"/>
    <w:rsid w:val="0053058A"/>
    <w:rsid w:val="00536358"/>
    <w:rsid w:val="00536BD5"/>
    <w:rsid w:val="00536E5C"/>
    <w:rsid w:val="005409CF"/>
    <w:rsid w:val="00541A6F"/>
    <w:rsid w:val="00542501"/>
    <w:rsid w:val="00544607"/>
    <w:rsid w:val="00544A1A"/>
    <w:rsid w:val="005622E2"/>
    <w:rsid w:val="0057079E"/>
    <w:rsid w:val="00580E1E"/>
    <w:rsid w:val="00585B22"/>
    <w:rsid w:val="00595FE2"/>
    <w:rsid w:val="005A41A8"/>
    <w:rsid w:val="005B0168"/>
    <w:rsid w:val="005B5668"/>
    <w:rsid w:val="005B635B"/>
    <w:rsid w:val="005B7005"/>
    <w:rsid w:val="005C42A0"/>
    <w:rsid w:val="005C71F8"/>
    <w:rsid w:val="005D0FE6"/>
    <w:rsid w:val="005E00FB"/>
    <w:rsid w:val="005E0B13"/>
    <w:rsid w:val="005E0B8C"/>
    <w:rsid w:val="005F1AD9"/>
    <w:rsid w:val="005F72E1"/>
    <w:rsid w:val="005F7C27"/>
    <w:rsid w:val="00603ACC"/>
    <w:rsid w:val="0061000E"/>
    <w:rsid w:val="00610CE8"/>
    <w:rsid w:val="00614B26"/>
    <w:rsid w:val="00620FA3"/>
    <w:rsid w:val="00621691"/>
    <w:rsid w:val="00621780"/>
    <w:rsid w:val="00627064"/>
    <w:rsid w:val="00643723"/>
    <w:rsid w:val="00653423"/>
    <w:rsid w:val="00654621"/>
    <w:rsid w:val="006568F6"/>
    <w:rsid w:val="006725B1"/>
    <w:rsid w:val="006732FB"/>
    <w:rsid w:val="00683C68"/>
    <w:rsid w:val="0068587E"/>
    <w:rsid w:val="006876BF"/>
    <w:rsid w:val="00693CDB"/>
    <w:rsid w:val="0069615F"/>
    <w:rsid w:val="006A0F34"/>
    <w:rsid w:val="006A5CC2"/>
    <w:rsid w:val="006B011C"/>
    <w:rsid w:val="006B2089"/>
    <w:rsid w:val="006C0543"/>
    <w:rsid w:val="006C0722"/>
    <w:rsid w:val="006C1B20"/>
    <w:rsid w:val="006C20A1"/>
    <w:rsid w:val="006C2300"/>
    <w:rsid w:val="006C23C8"/>
    <w:rsid w:val="006C5032"/>
    <w:rsid w:val="006D1A97"/>
    <w:rsid w:val="006D3528"/>
    <w:rsid w:val="006D3E26"/>
    <w:rsid w:val="006D6549"/>
    <w:rsid w:val="006F4B6A"/>
    <w:rsid w:val="006F7FA9"/>
    <w:rsid w:val="0071182A"/>
    <w:rsid w:val="00716CC2"/>
    <w:rsid w:val="007451C2"/>
    <w:rsid w:val="007508D0"/>
    <w:rsid w:val="00772B64"/>
    <w:rsid w:val="00775A2E"/>
    <w:rsid w:val="00776439"/>
    <w:rsid w:val="00793EAA"/>
    <w:rsid w:val="007A1547"/>
    <w:rsid w:val="007B28DD"/>
    <w:rsid w:val="007C0698"/>
    <w:rsid w:val="007C072C"/>
    <w:rsid w:val="007C272A"/>
    <w:rsid w:val="007D15E1"/>
    <w:rsid w:val="007D5CC4"/>
    <w:rsid w:val="007F7512"/>
    <w:rsid w:val="008011AE"/>
    <w:rsid w:val="00804C4B"/>
    <w:rsid w:val="00810B16"/>
    <w:rsid w:val="008202DD"/>
    <w:rsid w:val="0082569D"/>
    <w:rsid w:val="00832A99"/>
    <w:rsid w:val="0083389E"/>
    <w:rsid w:val="00835153"/>
    <w:rsid w:val="00840F9C"/>
    <w:rsid w:val="00842F0C"/>
    <w:rsid w:val="008437F1"/>
    <w:rsid w:val="00843C61"/>
    <w:rsid w:val="00852D18"/>
    <w:rsid w:val="008608E4"/>
    <w:rsid w:val="00870FE7"/>
    <w:rsid w:val="00871A51"/>
    <w:rsid w:val="008723E0"/>
    <w:rsid w:val="008733F8"/>
    <w:rsid w:val="008911E9"/>
    <w:rsid w:val="00893767"/>
    <w:rsid w:val="008A4B67"/>
    <w:rsid w:val="008A723F"/>
    <w:rsid w:val="008B486A"/>
    <w:rsid w:val="008B4F35"/>
    <w:rsid w:val="008B7718"/>
    <w:rsid w:val="008C41AB"/>
    <w:rsid w:val="008F0D8F"/>
    <w:rsid w:val="008F2009"/>
    <w:rsid w:val="008F4555"/>
    <w:rsid w:val="0090279B"/>
    <w:rsid w:val="00916A60"/>
    <w:rsid w:val="00920F85"/>
    <w:rsid w:val="00931765"/>
    <w:rsid w:val="0094203E"/>
    <w:rsid w:val="0094468F"/>
    <w:rsid w:val="00960A98"/>
    <w:rsid w:val="0097056E"/>
    <w:rsid w:val="009803BC"/>
    <w:rsid w:val="00986F84"/>
    <w:rsid w:val="00991D18"/>
    <w:rsid w:val="00997C7B"/>
    <w:rsid w:val="009A15CE"/>
    <w:rsid w:val="009A267A"/>
    <w:rsid w:val="009A4689"/>
    <w:rsid w:val="009B1A85"/>
    <w:rsid w:val="009B3E4A"/>
    <w:rsid w:val="009B6C9A"/>
    <w:rsid w:val="009C055F"/>
    <w:rsid w:val="009C5F9C"/>
    <w:rsid w:val="009E08B6"/>
    <w:rsid w:val="009E1A19"/>
    <w:rsid w:val="00A0031D"/>
    <w:rsid w:val="00A01DC5"/>
    <w:rsid w:val="00A170B0"/>
    <w:rsid w:val="00A17318"/>
    <w:rsid w:val="00A208B3"/>
    <w:rsid w:val="00A2323B"/>
    <w:rsid w:val="00A250C9"/>
    <w:rsid w:val="00A26F71"/>
    <w:rsid w:val="00A300B2"/>
    <w:rsid w:val="00A310D2"/>
    <w:rsid w:val="00A33940"/>
    <w:rsid w:val="00A3471F"/>
    <w:rsid w:val="00A35DAB"/>
    <w:rsid w:val="00A40EF9"/>
    <w:rsid w:val="00A4326E"/>
    <w:rsid w:val="00A5110C"/>
    <w:rsid w:val="00A5291F"/>
    <w:rsid w:val="00A60182"/>
    <w:rsid w:val="00A60819"/>
    <w:rsid w:val="00A61814"/>
    <w:rsid w:val="00A6613F"/>
    <w:rsid w:val="00A66AE4"/>
    <w:rsid w:val="00A7522D"/>
    <w:rsid w:val="00A8080D"/>
    <w:rsid w:val="00A823DA"/>
    <w:rsid w:val="00A84337"/>
    <w:rsid w:val="00A94901"/>
    <w:rsid w:val="00AA1E36"/>
    <w:rsid w:val="00AA5AB0"/>
    <w:rsid w:val="00AA6D64"/>
    <w:rsid w:val="00AB1651"/>
    <w:rsid w:val="00AB17D4"/>
    <w:rsid w:val="00AC4BAB"/>
    <w:rsid w:val="00AD2168"/>
    <w:rsid w:val="00AD3F3C"/>
    <w:rsid w:val="00AD4426"/>
    <w:rsid w:val="00AD789F"/>
    <w:rsid w:val="00AE2D91"/>
    <w:rsid w:val="00AF2C66"/>
    <w:rsid w:val="00AF2F62"/>
    <w:rsid w:val="00AF674A"/>
    <w:rsid w:val="00AF7FBC"/>
    <w:rsid w:val="00B05380"/>
    <w:rsid w:val="00B14C39"/>
    <w:rsid w:val="00B150DA"/>
    <w:rsid w:val="00B22AC7"/>
    <w:rsid w:val="00B34B5B"/>
    <w:rsid w:val="00B4579B"/>
    <w:rsid w:val="00B45808"/>
    <w:rsid w:val="00B503B2"/>
    <w:rsid w:val="00B52480"/>
    <w:rsid w:val="00B54CDF"/>
    <w:rsid w:val="00B63787"/>
    <w:rsid w:val="00B6422F"/>
    <w:rsid w:val="00B70C33"/>
    <w:rsid w:val="00B77F0B"/>
    <w:rsid w:val="00B80E8B"/>
    <w:rsid w:val="00B84457"/>
    <w:rsid w:val="00B90131"/>
    <w:rsid w:val="00B94284"/>
    <w:rsid w:val="00BC33CC"/>
    <w:rsid w:val="00BC40C6"/>
    <w:rsid w:val="00BC45B9"/>
    <w:rsid w:val="00BC536D"/>
    <w:rsid w:val="00BC699C"/>
    <w:rsid w:val="00BD1088"/>
    <w:rsid w:val="00BD4C9D"/>
    <w:rsid w:val="00BD55FA"/>
    <w:rsid w:val="00C066BA"/>
    <w:rsid w:val="00C06E68"/>
    <w:rsid w:val="00C10E06"/>
    <w:rsid w:val="00C11B4A"/>
    <w:rsid w:val="00C23AB9"/>
    <w:rsid w:val="00C3259D"/>
    <w:rsid w:val="00C4095D"/>
    <w:rsid w:val="00C41156"/>
    <w:rsid w:val="00C44CE8"/>
    <w:rsid w:val="00C461AF"/>
    <w:rsid w:val="00C4686F"/>
    <w:rsid w:val="00C46C2C"/>
    <w:rsid w:val="00C515DA"/>
    <w:rsid w:val="00C53276"/>
    <w:rsid w:val="00C5720F"/>
    <w:rsid w:val="00C57B9F"/>
    <w:rsid w:val="00C61150"/>
    <w:rsid w:val="00C62378"/>
    <w:rsid w:val="00C75E8D"/>
    <w:rsid w:val="00C82ABF"/>
    <w:rsid w:val="00C82ED8"/>
    <w:rsid w:val="00C85E63"/>
    <w:rsid w:val="00C90136"/>
    <w:rsid w:val="00C903C7"/>
    <w:rsid w:val="00C9373B"/>
    <w:rsid w:val="00C95E3E"/>
    <w:rsid w:val="00CC1142"/>
    <w:rsid w:val="00CC32ED"/>
    <w:rsid w:val="00CC4AC6"/>
    <w:rsid w:val="00CC4D50"/>
    <w:rsid w:val="00CC593B"/>
    <w:rsid w:val="00CD15E8"/>
    <w:rsid w:val="00CD2289"/>
    <w:rsid w:val="00CD4BDA"/>
    <w:rsid w:val="00CD5736"/>
    <w:rsid w:val="00CD741C"/>
    <w:rsid w:val="00CE5926"/>
    <w:rsid w:val="00CF0510"/>
    <w:rsid w:val="00CF1058"/>
    <w:rsid w:val="00CF6B51"/>
    <w:rsid w:val="00CF7E4E"/>
    <w:rsid w:val="00D02AFC"/>
    <w:rsid w:val="00D11F06"/>
    <w:rsid w:val="00D3411B"/>
    <w:rsid w:val="00D372A8"/>
    <w:rsid w:val="00D567CB"/>
    <w:rsid w:val="00D608DF"/>
    <w:rsid w:val="00D612EF"/>
    <w:rsid w:val="00D6157A"/>
    <w:rsid w:val="00D63D39"/>
    <w:rsid w:val="00D65A5A"/>
    <w:rsid w:val="00D6689D"/>
    <w:rsid w:val="00D72B70"/>
    <w:rsid w:val="00D80772"/>
    <w:rsid w:val="00D812C5"/>
    <w:rsid w:val="00D85790"/>
    <w:rsid w:val="00D95856"/>
    <w:rsid w:val="00DA2170"/>
    <w:rsid w:val="00DA2E92"/>
    <w:rsid w:val="00DA5578"/>
    <w:rsid w:val="00DB2DE1"/>
    <w:rsid w:val="00DC1709"/>
    <w:rsid w:val="00DC1AF3"/>
    <w:rsid w:val="00DC4FF3"/>
    <w:rsid w:val="00DC5C65"/>
    <w:rsid w:val="00DC7BD3"/>
    <w:rsid w:val="00DD3184"/>
    <w:rsid w:val="00DD4978"/>
    <w:rsid w:val="00DD591C"/>
    <w:rsid w:val="00DD700F"/>
    <w:rsid w:val="00DE67C3"/>
    <w:rsid w:val="00DE7050"/>
    <w:rsid w:val="00DE7BC9"/>
    <w:rsid w:val="00DF06EF"/>
    <w:rsid w:val="00E10D2B"/>
    <w:rsid w:val="00E12116"/>
    <w:rsid w:val="00E13055"/>
    <w:rsid w:val="00E134BC"/>
    <w:rsid w:val="00E21517"/>
    <w:rsid w:val="00E22FD3"/>
    <w:rsid w:val="00E265C1"/>
    <w:rsid w:val="00E3278C"/>
    <w:rsid w:val="00E336B6"/>
    <w:rsid w:val="00E40991"/>
    <w:rsid w:val="00E415FF"/>
    <w:rsid w:val="00E44FE9"/>
    <w:rsid w:val="00E47143"/>
    <w:rsid w:val="00E60AEE"/>
    <w:rsid w:val="00E629B5"/>
    <w:rsid w:val="00E66768"/>
    <w:rsid w:val="00E7006D"/>
    <w:rsid w:val="00E71E1E"/>
    <w:rsid w:val="00E76D49"/>
    <w:rsid w:val="00E807CE"/>
    <w:rsid w:val="00E8205C"/>
    <w:rsid w:val="00E82A0F"/>
    <w:rsid w:val="00E84AAC"/>
    <w:rsid w:val="00E8547E"/>
    <w:rsid w:val="00E953DD"/>
    <w:rsid w:val="00EB1E98"/>
    <w:rsid w:val="00EB4BF9"/>
    <w:rsid w:val="00EB6FC3"/>
    <w:rsid w:val="00EC2CC6"/>
    <w:rsid w:val="00ED0F4B"/>
    <w:rsid w:val="00ED7284"/>
    <w:rsid w:val="00EF147B"/>
    <w:rsid w:val="00EF3E2A"/>
    <w:rsid w:val="00F04EFD"/>
    <w:rsid w:val="00F120D3"/>
    <w:rsid w:val="00F152E4"/>
    <w:rsid w:val="00F20806"/>
    <w:rsid w:val="00F20F4D"/>
    <w:rsid w:val="00F21B77"/>
    <w:rsid w:val="00F3026D"/>
    <w:rsid w:val="00F42BBA"/>
    <w:rsid w:val="00F57667"/>
    <w:rsid w:val="00F64062"/>
    <w:rsid w:val="00F67CE7"/>
    <w:rsid w:val="00F80139"/>
    <w:rsid w:val="00F81245"/>
    <w:rsid w:val="00F833F7"/>
    <w:rsid w:val="00F8372A"/>
    <w:rsid w:val="00F84EF3"/>
    <w:rsid w:val="00FA2A4F"/>
    <w:rsid w:val="00FA31C2"/>
    <w:rsid w:val="00FA672D"/>
    <w:rsid w:val="00FA6E8D"/>
    <w:rsid w:val="00FA7053"/>
    <w:rsid w:val="00FA7C87"/>
    <w:rsid w:val="00FB2515"/>
    <w:rsid w:val="00FC0BF1"/>
    <w:rsid w:val="00FC3F3A"/>
    <w:rsid w:val="00FC483F"/>
    <w:rsid w:val="00FC79B7"/>
    <w:rsid w:val="00FD115A"/>
    <w:rsid w:val="00FD2580"/>
    <w:rsid w:val="00FD7D02"/>
    <w:rsid w:val="00FE1643"/>
    <w:rsid w:val="00FE2CF3"/>
    <w:rsid w:val="00FF4D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02"/>
    <w:rPr>
      <w:rFonts w:ascii="Segoe UI" w:hAnsi="Segoe UI" w:cs="Segoe UI"/>
      <w:sz w:val="18"/>
      <w:szCs w:val="18"/>
    </w:rPr>
  </w:style>
  <w:style w:type="paragraph" w:styleId="NormalWeb">
    <w:name w:val="Normal (Web)"/>
    <w:basedOn w:val="Normal"/>
    <w:uiPriority w:val="99"/>
    <w:unhideWhenUsed/>
    <w:rsid w:val="009B1A85"/>
    <w:rPr>
      <w:rFonts w:ascii="Times New Roman" w:hAnsi="Times New Roman" w:cs="Times New Roman"/>
      <w:sz w:val="24"/>
      <w:szCs w:val="24"/>
    </w:rPr>
  </w:style>
  <w:style w:type="paragraph" w:styleId="Header">
    <w:name w:val="header"/>
    <w:basedOn w:val="Normal"/>
    <w:link w:val="HeaderChar"/>
    <w:uiPriority w:val="99"/>
    <w:unhideWhenUsed/>
    <w:rsid w:val="00F2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B77"/>
  </w:style>
  <w:style w:type="paragraph" w:styleId="Footer">
    <w:name w:val="footer"/>
    <w:basedOn w:val="Normal"/>
    <w:link w:val="FooterChar"/>
    <w:uiPriority w:val="99"/>
    <w:unhideWhenUsed/>
    <w:rsid w:val="00F2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B77"/>
  </w:style>
  <w:style w:type="table" w:styleId="TableGrid">
    <w:name w:val="Table Grid"/>
    <w:basedOn w:val="TableNormal"/>
    <w:uiPriority w:val="39"/>
    <w:rsid w:val="0053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E33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95FE2"/>
    <w:rPr>
      <w:sz w:val="16"/>
      <w:szCs w:val="16"/>
    </w:rPr>
  </w:style>
  <w:style w:type="paragraph" w:styleId="CommentText">
    <w:name w:val="annotation text"/>
    <w:basedOn w:val="Normal"/>
    <w:link w:val="CommentTextChar"/>
    <w:uiPriority w:val="99"/>
    <w:semiHidden/>
    <w:unhideWhenUsed/>
    <w:rsid w:val="00595FE2"/>
    <w:pPr>
      <w:spacing w:line="240" w:lineRule="auto"/>
    </w:pPr>
    <w:rPr>
      <w:sz w:val="20"/>
      <w:szCs w:val="20"/>
    </w:rPr>
  </w:style>
  <w:style w:type="character" w:customStyle="1" w:styleId="CommentTextChar">
    <w:name w:val="Comment Text Char"/>
    <w:basedOn w:val="DefaultParagraphFont"/>
    <w:link w:val="CommentText"/>
    <w:uiPriority w:val="99"/>
    <w:semiHidden/>
    <w:rsid w:val="00595FE2"/>
    <w:rPr>
      <w:sz w:val="20"/>
      <w:szCs w:val="20"/>
    </w:rPr>
  </w:style>
  <w:style w:type="paragraph" w:styleId="CommentSubject">
    <w:name w:val="annotation subject"/>
    <w:basedOn w:val="CommentText"/>
    <w:next w:val="CommentText"/>
    <w:link w:val="CommentSubjectChar"/>
    <w:uiPriority w:val="99"/>
    <w:semiHidden/>
    <w:unhideWhenUsed/>
    <w:rsid w:val="00595FE2"/>
    <w:rPr>
      <w:b/>
      <w:bCs/>
    </w:rPr>
  </w:style>
  <w:style w:type="character" w:customStyle="1" w:styleId="CommentSubjectChar">
    <w:name w:val="Comment Subject Char"/>
    <w:basedOn w:val="CommentTextChar"/>
    <w:link w:val="CommentSubject"/>
    <w:uiPriority w:val="99"/>
    <w:semiHidden/>
    <w:rsid w:val="00595FE2"/>
    <w:rPr>
      <w:b/>
      <w:bCs/>
      <w:sz w:val="20"/>
      <w:szCs w:val="20"/>
    </w:rPr>
  </w:style>
  <w:style w:type="paragraph" w:styleId="Revision">
    <w:name w:val="Revision"/>
    <w:hidden/>
    <w:uiPriority w:val="99"/>
    <w:semiHidden/>
    <w:rsid w:val="000D3618"/>
    <w:pPr>
      <w:spacing w:after="0" w:line="240" w:lineRule="auto"/>
    </w:pPr>
  </w:style>
  <w:style w:type="paragraph" w:styleId="EndnoteText">
    <w:name w:val="endnote text"/>
    <w:basedOn w:val="Normal"/>
    <w:link w:val="EndnoteTextChar"/>
    <w:uiPriority w:val="99"/>
    <w:unhideWhenUsed/>
    <w:rsid w:val="00AF2F62"/>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AF2F62"/>
    <w:rPr>
      <w:rFonts w:eastAsiaTheme="minorHAnsi"/>
      <w:sz w:val="20"/>
      <w:szCs w:val="20"/>
      <w:lang w:eastAsia="en-US"/>
    </w:rPr>
  </w:style>
  <w:style w:type="character" w:styleId="EndnoteReference">
    <w:name w:val="endnote reference"/>
    <w:basedOn w:val="DefaultParagraphFont"/>
    <w:uiPriority w:val="99"/>
    <w:unhideWhenUsed/>
    <w:rsid w:val="00AF2F62"/>
    <w:rPr>
      <w:vertAlign w:val="superscript"/>
    </w:rPr>
  </w:style>
  <w:style w:type="paragraph" w:customStyle="1" w:styleId="RSCB02ArticleText">
    <w:name w:val="RSC B02 Article Text"/>
    <w:basedOn w:val="Normal"/>
    <w:link w:val="RSCB02ArticleTextChar"/>
    <w:qFormat/>
    <w:rsid w:val="00081068"/>
    <w:pPr>
      <w:tabs>
        <w:tab w:val="left" w:pos="284"/>
      </w:tabs>
      <w:spacing w:after="0" w:line="240" w:lineRule="exact"/>
      <w:jc w:val="both"/>
    </w:pPr>
    <w:rPr>
      <w:rFonts w:eastAsiaTheme="minorHAnsi" w:cs="Times New Roman"/>
      <w:w w:val="108"/>
      <w:sz w:val="18"/>
      <w:szCs w:val="18"/>
      <w:lang w:eastAsia="en-US"/>
    </w:rPr>
  </w:style>
  <w:style w:type="character" w:customStyle="1" w:styleId="RSCB02ArticleTextChar">
    <w:name w:val="RSC B02 Article Text Char"/>
    <w:basedOn w:val="DefaultParagraphFont"/>
    <w:link w:val="RSCB02ArticleText"/>
    <w:rsid w:val="00081068"/>
    <w:rPr>
      <w:rFonts w:eastAsiaTheme="minorHAnsi" w:cs="Times New Roman"/>
      <w:w w:val="108"/>
      <w:sz w:val="18"/>
      <w:szCs w:val="18"/>
      <w:lang w:eastAsia="en-US"/>
    </w:rPr>
  </w:style>
  <w:style w:type="numbering" w:customStyle="1" w:styleId="NoList1">
    <w:name w:val="No List1"/>
    <w:next w:val="NoList"/>
    <w:uiPriority w:val="99"/>
    <w:semiHidden/>
    <w:unhideWhenUsed/>
    <w:rsid w:val="00081068"/>
  </w:style>
  <w:style w:type="table" w:customStyle="1" w:styleId="TableGrid1">
    <w:name w:val="Table Grid1"/>
    <w:basedOn w:val="TableNormal"/>
    <w:next w:val="TableGrid"/>
    <w:uiPriority w:val="59"/>
    <w:rsid w:val="00081068"/>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FigureCaption">
    <w:name w:val="VA_Figure_Caption"/>
    <w:basedOn w:val="Normal"/>
    <w:next w:val="Normal"/>
    <w:rsid w:val="00081068"/>
    <w:pPr>
      <w:spacing w:after="200" w:line="480" w:lineRule="auto"/>
      <w:jc w:val="both"/>
    </w:pPr>
    <w:rPr>
      <w:rFonts w:ascii="Times" w:eastAsia="Times New Roman" w:hAnsi="Times" w:cs="Times New Roman"/>
      <w:sz w:val="24"/>
      <w:szCs w:val="20"/>
      <w:lang w:val="en-US" w:eastAsia="en-US"/>
    </w:rPr>
  </w:style>
  <w:style w:type="paragraph" w:customStyle="1" w:styleId="ListParagraph1">
    <w:name w:val="List Paragraph1"/>
    <w:basedOn w:val="Normal"/>
    <w:next w:val="ListParagraph"/>
    <w:uiPriority w:val="34"/>
    <w:qFormat/>
    <w:rsid w:val="00081068"/>
    <w:pPr>
      <w:numPr>
        <w:numId w:val="1"/>
      </w:numPr>
      <w:spacing w:after="0" w:line="240" w:lineRule="auto"/>
      <w:ind w:left="284" w:hanging="284"/>
      <w:contextualSpacing/>
    </w:pPr>
    <w:rPr>
      <w:sz w:val="24"/>
      <w:szCs w:val="24"/>
      <w:lang w:eastAsia="en-US"/>
    </w:rPr>
  </w:style>
  <w:style w:type="paragraph" w:styleId="ListParagraph">
    <w:name w:val="List Paragraph"/>
    <w:basedOn w:val="Normal"/>
    <w:uiPriority w:val="34"/>
    <w:qFormat/>
    <w:rsid w:val="00081068"/>
    <w:pPr>
      <w:ind w:left="720"/>
      <w:contextualSpacing/>
    </w:pPr>
  </w:style>
  <w:style w:type="table" w:customStyle="1" w:styleId="TableGrid2">
    <w:name w:val="Table Grid2"/>
    <w:basedOn w:val="TableNormal"/>
    <w:next w:val="TableGrid"/>
    <w:uiPriority w:val="59"/>
    <w:rsid w:val="006F4B6A"/>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289"/>
    <w:rPr>
      <w:color w:val="0563C1" w:themeColor="hyperlink"/>
      <w:u w:val="single"/>
    </w:rPr>
  </w:style>
  <w:style w:type="table" w:customStyle="1" w:styleId="MDPITable">
    <w:name w:val="MDPI_Table"/>
    <w:basedOn w:val="TableNormal"/>
    <w:uiPriority w:val="99"/>
    <w:rsid w:val="000B0E8E"/>
    <w:pPr>
      <w:spacing w:after="0" w:line="240" w:lineRule="auto"/>
    </w:pPr>
    <w:rPr>
      <w:rFonts w:ascii="Palatino Linotype" w:eastAsia="SimSun" w:hAnsi="Palatino Linotype" w:cs="Times New Roman"/>
      <w:color w:val="000000"/>
      <w:sz w:val="20"/>
      <w:szCs w:val="20"/>
      <w:lang w:val="en-CA" w:eastAsia="en-US"/>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02"/>
    <w:rPr>
      <w:rFonts w:ascii="Segoe UI" w:hAnsi="Segoe UI" w:cs="Segoe UI"/>
      <w:sz w:val="18"/>
      <w:szCs w:val="18"/>
    </w:rPr>
  </w:style>
  <w:style w:type="paragraph" w:styleId="NormalWeb">
    <w:name w:val="Normal (Web)"/>
    <w:basedOn w:val="Normal"/>
    <w:uiPriority w:val="99"/>
    <w:unhideWhenUsed/>
    <w:rsid w:val="009B1A85"/>
    <w:rPr>
      <w:rFonts w:ascii="Times New Roman" w:hAnsi="Times New Roman" w:cs="Times New Roman"/>
      <w:sz w:val="24"/>
      <w:szCs w:val="24"/>
    </w:rPr>
  </w:style>
  <w:style w:type="paragraph" w:styleId="Header">
    <w:name w:val="header"/>
    <w:basedOn w:val="Normal"/>
    <w:link w:val="HeaderChar"/>
    <w:uiPriority w:val="99"/>
    <w:unhideWhenUsed/>
    <w:rsid w:val="00F21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B77"/>
  </w:style>
  <w:style w:type="paragraph" w:styleId="Footer">
    <w:name w:val="footer"/>
    <w:basedOn w:val="Normal"/>
    <w:link w:val="FooterChar"/>
    <w:uiPriority w:val="99"/>
    <w:unhideWhenUsed/>
    <w:rsid w:val="00F21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B77"/>
  </w:style>
  <w:style w:type="table" w:styleId="TableGrid">
    <w:name w:val="Table Grid"/>
    <w:basedOn w:val="TableNormal"/>
    <w:uiPriority w:val="39"/>
    <w:rsid w:val="0053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0E33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95FE2"/>
    <w:rPr>
      <w:sz w:val="16"/>
      <w:szCs w:val="16"/>
    </w:rPr>
  </w:style>
  <w:style w:type="paragraph" w:styleId="CommentText">
    <w:name w:val="annotation text"/>
    <w:basedOn w:val="Normal"/>
    <w:link w:val="CommentTextChar"/>
    <w:uiPriority w:val="99"/>
    <w:semiHidden/>
    <w:unhideWhenUsed/>
    <w:rsid w:val="00595FE2"/>
    <w:pPr>
      <w:spacing w:line="240" w:lineRule="auto"/>
    </w:pPr>
    <w:rPr>
      <w:sz w:val="20"/>
      <w:szCs w:val="20"/>
    </w:rPr>
  </w:style>
  <w:style w:type="character" w:customStyle="1" w:styleId="CommentTextChar">
    <w:name w:val="Comment Text Char"/>
    <w:basedOn w:val="DefaultParagraphFont"/>
    <w:link w:val="CommentText"/>
    <w:uiPriority w:val="99"/>
    <w:semiHidden/>
    <w:rsid w:val="00595FE2"/>
    <w:rPr>
      <w:sz w:val="20"/>
      <w:szCs w:val="20"/>
    </w:rPr>
  </w:style>
  <w:style w:type="paragraph" w:styleId="CommentSubject">
    <w:name w:val="annotation subject"/>
    <w:basedOn w:val="CommentText"/>
    <w:next w:val="CommentText"/>
    <w:link w:val="CommentSubjectChar"/>
    <w:uiPriority w:val="99"/>
    <w:semiHidden/>
    <w:unhideWhenUsed/>
    <w:rsid w:val="00595FE2"/>
    <w:rPr>
      <w:b/>
      <w:bCs/>
    </w:rPr>
  </w:style>
  <w:style w:type="character" w:customStyle="1" w:styleId="CommentSubjectChar">
    <w:name w:val="Comment Subject Char"/>
    <w:basedOn w:val="CommentTextChar"/>
    <w:link w:val="CommentSubject"/>
    <w:uiPriority w:val="99"/>
    <w:semiHidden/>
    <w:rsid w:val="00595FE2"/>
    <w:rPr>
      <w:b/>
      <w:bCs/>
      <w:sz w:val="20"/>
      <w:szCs w:val="20"/>
    </w:rPr>
  </w:style>
  <w:style w:type="paragraph" w:styleId="Revision">
    <w:name w:val="Revision"/>
    <w:hidden/>
    <w:uiPriority w:val="99"/>
    <w:semiHidden/>
    <w:rsid w:val="000D3618"/>
    <w:pPr>
      <w:spacing w:after="0" w:line="240" w:lineRule="auto"/>
    </w:pPr>
  </w:style>
  <w:style w:type="paragraph" w:styleId="EndnoteText">
    <w:name w:val="endnote text"/>
    <w:basedOn w:val="Normal"/>
    <w:link w:val="EndnoteTextChar"/>
    <w:uiPriority w:val="99"/>
    <w:unhideWhenUsed/>
    <w:rsid w:val="00AF2F62"/>
    <w:pPr>
      <w:spacing w:after="0" w:line="240" w:lineRule="auto"/>
    </w:pPr>
    <w:rPr>
      <w:rFonts w:eastAsiaTheme="minorHAnsi"/>
      <w:sz w:val="20"/>
      <w:szCs w:val="20"/>
      <w:lang w:eastAsia="en-US"/>
    </w:rPr>
  </w:style>
  <w:style w:type="character" w:customStyle="1" w:styleId="EndnoteTextChar">
    <w:name w:val="Endnote Text Char"/>
    <w:basedOn w:val="DefaultParagraphFont"/>
    <w:link w:val="EndnoteText"/>
    <w:uiPriority w:val="99"/>
    <w:rsid w:val="00AF2F62"/>
    <w:rPr>
      <w:rFonts w:eastAsiaTheme="minorHAnsi"/>
      <w:sz w:val="20"/>
      <w:szCs w:val="20"/>
      <w:lang w:eastAsia="en-US"/>
    </w:rPr>
  </w:style>
  <w:style w:type="character" w:styleId="EndnoteReference">
    <w:name w:val="endnote reference"/>
    <w:basedOn w:val="DefaultParagraphFont"/>
    <w:uiPriority w:val="99"/>
    <w:unhideWhenUsed/>
    <w:rsid w:val="00AF2F62"/>
    <w:rPr>
      <w:vertAlign w:val="superscript"/>
    </w:rPr>
  </w:style>
  <w:style w:type="paragraph" w:customStyle="1" w:styleId="RSCB02ArticleText">
    <w:name w:val="RSC B02 Article Text"/>
    <w:basedOn w:val="Normal"/>
    <w:link w:val="RSCB02ArticleTextChar"/>
    <w:qFormat/>
    <w:rsid w:val="00081068"/>
    <w:pPr>
      <w:tabs>
        <w:tab w:val="left" w:pos="284"/>
      </w:tabs>
      <w:spacing w:after="0" w:line="240" w:lineRule="exact"/>
      <w:jc w:val="both"/>
    </w:pPr>
    <w:rPr>
      <w:rFonts w:eastAsiaTheme="minorHAnsi" w:cs="Times New Roman"/>
      <w:w w:val="108"/>
      <w:sz w:val="18"/>
      <w:szCs w:val="18"/>
      <w:lang w:eastAsia="en-US"/>
    </w:rPr>
  </w:style>
  <w:style w:type="character" w:customStyle="1" w:styleId="RSCB02ArticleTextChar">
    <w:name w:val="RSC B02 Article Text Char"/>
    <w:basedOn w:val="DefaultParagraphFont"/>
    <w:link w:val="RSCB02ArticleText"/>
    <w:rsid w:val="00081068"/>
    <w:rPr>
      <w:rFonts w:eastAsiaTheme="minorHAnsi" w:cs="Times New Roman"/>
      <w:w w:val="108"/>
      <w:sz w:val="18"/>
      <w:szCs w:val="18"/>
      <w:lang w:eastAsia="en-US"/>
    </w:rPr>
  </w:style>
  <w:style w:type="numbering" w:customStyle="1" w:styleId="NoList1">
    <w:name w:val="No List1"/>
    <w:next w:val="NoList"/>
    <w:uiPriority w:val="99"/>
    <w:semiHidden/>
    <w:unhideWhenUsed/>
    <w:rsid w:val="00081068"/>
  </w:style>
  <w:style w:type="table" w:customStyle="1" w:styleId="TableGrid1">
    <w:name w:val="Table Grid1"/>
    <w:basedOn w:val="TableNormal"/>
    <w:next w:val="TableGrid"/>
    <w:uiPriority w:val="59"/>
    <w:rsid w:val="00081068"/>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FigureCaption">
    <w:name w:val="VA_Figure_Caption"/>
    <w:basedOn w:val="Normal"/>
    <w:next w:val="Normal"/>
    <w:rsid w:val="00081068"/>
    <w:pPr>
      <w:spacing w:after="200" w:line="480" w:lineRule="auto"/>
      <w:jc w:val="both"/>
    </w:pPr>
    <w:rPr>
      <w:rFonts w:ascii="Times" w:eastAsia="Times New Roman" w:hAnsi="Times" w:cs="Times New Roman"/>
      <w:sz w:val="24"/>
      <w:szCs w:val="20"/>
      <w:lang w:val="en-US" w:eastAsia="en-US"/>
    </w:rPr>
  </w:style>
  <w:style w:type="paragraph" w:customStyle="1" w:styleId="ListParagraph1">
    <w:name w:val="List Paragraph1"/>
    <w:basedOn w:val="Normal"/>
    <w:next w:val="ListParagraph"/>
    <w:uiPriority w:val="34"/>
    <w:qFormat/>
    <w:rsid w:val="00081068"/>
    <w:pPr>
      <w:numPr>
        <w:numId w:val="1"/>
      </w:numPr>
      <w:spacing w:after="0" w:line="240" w:lineRule="auto"/>
      <w:ind w:left="284" w:hanging="284"/>
      <w:contextualSpacing/>
    </w:pPr>
    <w:rPr>
      <w:sz w:val="24"/>
      <w:szCs w:val="24"/>
      <w:lang w:eastAsia="en-US"/>
    </w:rPr>
  </w:style>
  <w:style w:type="paragraph" w:styleId="ListParagraph">
    <w:name w:val="List Paragraph"/>
    <w:basedOn w:val="Normal"/>
    <w:uiPriority w:val="34"/>
    <w:qFormat/>
    <w:rsid w:val="00081068"/>
    <w:pPr>
      <w:ind w:left="720"/>
      <w:contextualSpacing/>
    </w:pPr>
  </w:style>
  <w:style w:type="table" w:customStyle="1" w:styleId="TableGrid2">
    <w:name w:val="Table Grid2"/>
    <w:basedOn w:val="TableNormal"/>
    <w:next w:val="TableGrid"/>
    <w:uiPriority w:val="59"/>
    <w:rsid w:val="006F4B6A"/>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2289"/>
    <w:rPr>
      <w:color w:val="0563C1" w:themeColor="hyperlink"/>
      <w:u w:val="single"/>
    </w:rPr>
  </w:style>
  <w:style w:type="table" w:customStyle="1" w:styleId="MDPITable">
    <w:name w:val="MDPI_Table"/>
    <w:basedOn w:val="TableNormal"/>
    <w:uiPriority w:val="99"/>
    <w:rsid w:val="000B0E8E"/>
    <w:pPr>
      <w:spacing w:after="0" w:line="240" w:lineRule="auto"/>
    </w:pPr>
    <w:rPr>
      <w:rFonts w:ascii="Palatino Linotype" w:eastAsia="SimSun" w:hAnsi="Palatino Linotype" w:cs="Times New Roman"/>
      <w:color w:val="000000"/>
      <w:sz w:val="20"/>
      <w:szCs w:val="20"/>
      <w:lang w:val="en-CA"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248">
      <w:bodyDiv w:val="1"/>
      <w:marLeft w:val="0"/>
      <w:marRight w:val="0"/>
      <w:marTop w:val="0"/>
      <w:marBottom w:val="0"/>
      <w:divBdr>
        <w:top w:val="none" w:sz="0" w:space="0" w:color="auto"/>
        <w:left w:val="none" w:sz="0" w:space="0" w:color="auto"/>
        <w:bottom w:val="none" w:sz="0" w:space="0" w:color="auto"/>
        <w:right w:val="none" w:sz="0" w:space="0" w:color="auto"/>
      </w:divBdr>
    </w:div>
    <w:div w:id="55783101">
      <w:bodyDiv w:val="1"/>
      <w:marLeft w:val="0"/>
      <w:marRight w:val="0"/>
      <w:marTop w:val="0"/>
      <w:marBottom w:val="0"/>
      <w:divBdr>
        <w:top w:val="none" w:sz="0" w:space="0" w:color="auto"/>
        <w:left w:val="none" w:sz="0" w:space="0" w:color="auto"/>
        <w:bottom w:val="none" w:sz="0" w:space="0" w:color="auto"/>
        <w:right w:val="none" w:sz="0" w:space="0" w:color="auto"/>
      </w:divBdr>
    </w:div>
    <w:div w:id="56559725">
      <w:bodyDiv w:val="1"/>
      <w:marLeft w:val="0"/>
      <w:marRight w:val="0"/>
      <w:marTop w:val="0"/>
      <w:marBottom w:val="0"/>
      <w:divBdr>
        <w:top w:val="none" w:sz="0" w:space="0" w:color="auto"/>
        <w:left w:val="none" w:sz="0" w:space="0" w:color="auto"/>
        <w:bottom w:val="none" w:sz="0" w:space="0" w:color="auto"/>
        <w:right w:val="none" w:sz="0" w:space="0" w:color="auto"/>
      </w:divBdr>
    </w:div>
    <w:div w:id="166940330">
      <w:bodyDiv w:val="1"/>
      <w:marLeft w:val="0"/>
      <w:marRight w:val="0"/>
      <w:marTop w:val="0"/>
      <w:marBottom w:val="0"/>
      <w:divBdr>
        <w:top w:val="none" w:sz="0" w:space="0" w:color="auto"/>
        <w:left w:val="none" w:sz="0" w:space="0" w:color="auto"/>
        <w:bottom w:val="none" w:sz="0" w:space="0" w:color="auto"/>
        <w:right w:val="none" w:sz="0" w:space="0" w:color="auto"/>
      </w:divBdr>
    </w:div>
    <w:div w:id="172113837">
      <w:bodyDiv w:val="1"/>
      <w:marLeft w:val="0"/>
      <w:marRight w:val="0"/>
      <w:marTop w:val="0"/>
      <w:marBottom w:val="0"/>
      <w:divBdr>
        <w:top w:val="none" w:sz="0" w:space="0" w:color="auto"/>
        <w:left w:val="none" w:sz="0" w:space="0" w:color="auto"/>
        <w:bottom w:val="none" w:sz="0" w:space="0" w:color="auto"/>
        <w:right w:val="none" w:sz="0" w:space="0" w:color="auto"/>
      </w:divBdr>
    </w:div>
    <w:div w:id="196351801">
      <w:bodyDiv w:val="1"/>
      <w:marLeft w:val="0"/>
      <w:marRight w:val="0"/>
      <w:marTop w:val="0"/>
      <w:marBottom w:val="0"/>
      <w:divBdr>
        <w:top w:val="none" w:sz="0" w:space="0" w:color="auto"/>
        <w:left w:val="none" w:sz="0" w:space="0" w:color="auto"/>
        <w:bottom w:val="none" w:sz="0" w:space="0" w:color="auto"/>
        <w:right w:val="none" w:sz="0" w:space="0" w:color="auto"/>
      </w:divBdr>
    </w:div>
    <w:div w:id="216666904">
      <w:bodyDiv w:val="1"/>
      <w:marLeft w:val="0"/>
      <w:marRight w:val="0"/>
      <w:marTop w:val="0"/>
      <w:marBottom w:val="0"/>
      <w:divBdr>
        <w:top w:val="none" w:sz="0" w:space="0" w:color="auto"/>
        <w:left w:val="none" w:sz="0" w:space="0" w:color="auto"/>
        <w:bottom w:val="none" w:sz="0" w:space="0" w:color="auto"/>
        <w:right w:val="none" w:sz="0" w:space="0" w:color="auto"/>
      </w:divBdr>
    </w:div>
    <w:div w:id="315766982">
      <w:bodyDiv w:val="1"/>
      <w:marLeft w:val="0"/>
      <w:marRight w:val="0"/>
      <w:marTop w:val="0"/>
      <w:marBottom w:val="0"/>
      <w:divBdr>
        <w:top w:val="none" w:sz="0" w:space="0" w:color="auto"/>
        <w:left w:val="none" w:sz="0" w:space="0" w:color="auto"/>
        <w:bottom w:val="none" w:sz="0" w:space="0" w:color="auto"/>
        <w:right w:val="none" w:sz="0" w:space="0" w:color="auto"/>
      </w:divBdr>
    </w:div>
    <w:div w:id="371728894">
      <w:bodyDiv w:val="1"/>
      <w:marLeft w:val="0"/>
      <w:marRight w:val="0"/>
      <w:marTop w:val="0"/>
      <w:marBottom w:val="0"/>
      <w:divBdr>
        <w:top w:val="none" w:sz="0" w:space="0" w:color="auto"/>
        <w:left w:val="none" w:sz="0" w:space="0" w:color="auto"/>
        <w:bottom w:val="none" w:sz="0" w:space="0" w:color="auto"/>
        <w:right w:val="none" w:sz="0" w:space="0" w:color="auto"/>
      </w:divBdr>
    </w:div>
    <w:div w:id="415829003">
      <w:bodyDiv w:val="1"/>
      <w:marLeft w:val="0"/>
      <w:marRight w:val="0"/>
      <w:marTop w:val="0"/>
      <w:marBottom w:val="0"/>
      <w:divBdr>
        <w:top w:val="none" w:sz="0" w:space="0" w:color="auto"/>
        <w:left w:val="none" w:sz="0" w:space="0" w:color="auto"/>
        <w:bottom w:val="none" w:sz="0" w:space="0" w:color="auto"/>
        <w:right w:val="none" w:sz="0" w:space="0" w:color="auto"/>
      </w:divBdr>
    </w:div>
    <w:div w:id="459879897">
      <w:bodyDiv w:val="1"/>
      <w:marLeft w:val="0"/>
      <w:marRight w:val="0"/>
      <w:marTop w:val="0"/>
      <w:marBottom w:val="0"/>
      <w:divBdr>
        <w:top w:val="none" w:sz="0" w:space="0" w:color="auto"/>
        <w:left w:val="none" w:sz="0" w:space="0" w:color="auto"/>
        <w:bottom w:val="none" w:sz="0" w:space="0" w:color="auto"/>
        <w:right w:val="none" w:sz="0" w:space="0" w:color="auto"/>
      </w:divBdr>
    </w:div>
    <w:div w:id="548346489">
      <w:bodyDiv w:val="1"/>
      <w:marLeft w:val="0"/>
      <w:marRight w:val="0"/>
      <w:marTop w:val="0"/>
      <w:marBottom w:val="0"/>
      <w:divBdr>
        <w:top w:val="none" w:sz="0" w:space="0" w:color="auto"/>
        <w:left w:val="none" w:sz="0" w:space="0" w:color="auto"/>
        <w:bottom w:val="none" w:sz="0" w:space="0" w:color="auto"/>
        <w:right w:val="none" w:sz="0" w:space="0" w:color="auto"/>
      </w:divBdr>
    </w:div>
    <w:div w:id="568465260">
      <w:bodyDiv w:val="1"/>
      <w:marLeft w:val="0"/>
      <w:marRight w:val="0"/>
      <w:marTop w:val="0"/>
      <w:marBottom w:val="0"/>
      <w:divBdr>
        <w:top w:val="none" w:sz="0" w:space="0" w:color="auto"/>
        <w:left w:val="none" w:sz="0" w:space="0" w:color="auto"/>
        <w:bottom w:val="none" w:sz="0" w:space="0" w:color="auto"/>
        <w:right w:val="none" w:sz="0" w:space="0" w:color="auto"/>
      </w:divBdr>
    </w:div>
    <w:div w:id="574976847">
      <w:bodyDiv w:val="1"/>
      <w:marLeft w:val="0"/>
      <w:marRight w:val="0"/>
      <w:marTop w:val="0"/>
      <w:marBottom w:val="0"/>
      <w:divBdr>
        <w:top w:val="none" w:sz="0" w:space="0" w:color="auto"/>
        <w:left w:val="none" w:sz="0" w:space="0" w:color="auto"/>
        <w:bottom w:val="none" w:sz="0" w:space="0" w:color="auto"/>
        <w:right w:val="none" w:sz="0" w:space="0" w:color="auto"/>
      </w:divBdr>
    </w:div>
    <w:div w:id="653072989">
      <w:bodyDiv w:val="1"/>
      <w:marLeft w:val="0"/>
      <w:marRight w:val="0"/>
      <w:marTop w:val="0"/>
      <w:marBottom w:val="0"/>
      <w:divBdr>
        <w:top w:val="none" w:sz="0" w:space="0" w:color="auto"/>
        <w:left w:val="none" w:sz="0" w:space="0" w:color="auto"/>
        <w:bottom w:val="none" w:sz="0" w:space="0" w:color="auto"/>
        <w:right w:val="none" w:sz="0" w:space="0" w:color="auto"/>
      </w:divBdr>
    </w:div>
    <w:div w:id="700935759">
      <w:bodyDiv w:val="1"/>
      <w:marLeft w:val="0"/>
      <w:marRight w:val="0"/>
      <w:marTop w:val="0"/>
      <w:marBottom w:val="0"/>
      <w:divBdr>
        <w:top w:val="none" w:sz="0" w:space="0" w:color="auto"/>
        <w:left w:val="none" w:sz="0" w:space="0" w:color="auto"/>
        <w:bottom w:val="none" w:sz="0" w:space="0" w:color="auto"/>
        <w:right w:val="none" w:sz="0" w:space="0" w:color="auto"/>
      </w:divBdr>
    </w:div>
    <w:div w:id="854342149">
      <w:bodyDiv w:val="1"/>
      <w:marLeft w:val="0"/>
      <w:marRight w:val="0"/>
      <w:marTop w:val="0"/>
      <w:marBottom w:val="0"/>
      <w:divBdr>
        <w:top w:val="none" w:sz="0" w:space="0" w:color="auto"/>
        <w:left w:val="none" w:sz="0" w:space="0" w:color="auto"/>
        <w:bottom w:val="none" w:sz="0" w:space="0" w:color="auto"/>
        <w:right w:val="none" w:sz="0" w:space="0" w:color="auto"/>
      </w:divBdr>
    </w:div>
    <w:div w:id="898438107">
      <w:bodyDiv w:val="1"/>
      <w:marLeft w:val="0"/>
      <w:marRight w:val="0"/>
      <w:marTop w:val="0"/>
      <w:marBottom w:val="0"/>
      <w:divBdr>
        <w:top w:val="none" w:sz="0" w:space="0" w:color="auto"/>
        <w:left w:val="none" w:sz="0" w:space="0" w:color="auto"/>
        <w:bottom w:val="none" w:sz="0" w:space="0" w:color="auto"/>
        <w:right w:val="none" w:sz="0" w:space="0" w:color="auto"/>
      </w:divBdr>
    </w:div>
    <w:div w:id="929044871">
      <w:bodyDiv w:val="1"/>
      <w:marLeft w:val="0"/>
      <w:marRight w:val="0"/>
      <w:marTop w:val="0"/>
      <w:marBottom w:val="0"/>
      <w:divBdr>
        <w:top w:val="none" w:sz="0" w:space="0" w:color="auto"/>
        <w:left w:val="none" w:sz="0" w:space="0" w:color="auto"/>
        <w:bottom w:val="none" w:sz="0" w:space="0" w:color="auto"/>
        <w:right w:val="none" w:sz="0" w:space="0" w:color="auto"/>
      </w:divBdr>
    </w:div>
    <w:div w:id="939222911">
      <w:bodyDiv w:val="1"/>
      <w:marLeft w:val="0"/>
      <w:marRight w:val="0"/>
      <w:marTop w:val="0"/>
      <w:marBottom w:val="0"/>
      <w:divBdr>
        <w:top w:val="none" w:sz="0" w:space="0" w:color="auto"/>
        <w:left w:val="none" w:sz="0" w:space="0" w:color="auto"/>
        <w:bottom w:val="none" w:sz="0" w:space="0" w:color="auto"/>
        <w:right w:val="none" w:sz="0" w:space="0" w:color="auto"/>
      </w:divBdr>
    </w:div>
    <w:div w:id="1115834188">
      <w:bodyDiv w:val="1"/>
      <w:marLeft w:val="0"/>
      <w:marRight w:val="0"/>
      <w:marTop w:val="0"/>
      <w:marBottom w:val="0"/>
      <w:divBdr>
        <w:top w:val="none" w:sz="0" w:space="0" w:color="auto"/>
        <w:left w:val="none" w:sz="0" w:space="0" w:color="auto"/>
        <w:bottom w:val="none" w:sz="0" w:space="0" w:color="auto"/>
        <w:right w:val="none" w:sz="0" w:space="0" w:color="auto"/>
      </w:divBdr>
    </w:div>
    <w:div w:id="1125153594">
      <w:bodyDiv w:val="1"/>
      <w:marLeft w:val="0"/>
      <w:marRight w:val="0"/>
      <w:marTop w:val="0"/>
      <w:marBottom w:val="0"/>
      <w:divBdr>
        <w:top w:val="none" w:sz="0" w:space="0" w:color="auto"/>
        <w:left w:val="none" w:sz="0" w:space="0" w:color="auto"/>
        <w:bottom w:val="none" w:sz="0" w:space="0" w:color="auto"/>
        <w:right w:val="none" w:sz="0" w:space="0" w:color="auto"/>
      </w:divBdr>
    </w:div>
    <w:div w:id="1143503646">
      <w:bodyDiv w:val="1"/>
      <w:marLeft w:val="0"/>
      <w:marRight w:val="0"/>
      <w:marTop w:val="0"/>
      <w:marBottom w:val="0"/>
      <w:divBdr>
        <w:top w:val="none" w:sz="0" w:space="0" w:color="auto"/>
        <w:left w:val="none" w:sz="0" w:space="0" w:color="auto"/>
        <w:bottom w:val="none" w:sz="0" w:space="0" w:color="auto"/>
        <w:right w:val="none" w:sz="0" w:space="0" w:color="auto"/>
      </w:divBdr>
    </w:div>
    <w:div w:id="1158184395">
      <w:bodyDiv w:val="1"/>
      <w:marLeft w:val="0"/>
      <w:marRight w:val="0"/>
      <w:marTop w:val="0"/>
      <w:marBottom w:val="0"/>
      <w:divBdr>
        <w:top w:val="none" w:sz="0" w:space="0" w:color="auto"/>
        <w:left w:val="none" w:sz="0" w:space="0" w:color="auto"/>
        <w:bottom w:val="none" w:sz="0" w:space="0" w:color="auto"/>
        <w:right w:val="none" w:sz="0" w:space="0" w:color="auto"/>
      </w:divBdr>
    </w:div>
    <w:div w:id="1197036102">
      <w:bodyDiv w:val="1"/>
      <w:marLeft w:val="0"/>
      <w:marRight w:val="0"/>
      <w:marTop w:val="0"/>
      <w:marBottom w:val="0"/>
      <w:divBdr>
        <w:top w:val="none" w:sz="0" w:space="0" w:color="auto"/>
        <w:left w:val="none" w:sz="0" w:space="0" w:color="auto"/>
        <w:bottom w:val="none" w:sz="0" w:space="0" w:color="auto"/>
        <w:right w:val="none" w:sz="0" w:space="0" w:color="auto"/>
      </w:divBdr>
    </w:div>
    <w:div w:id="1241476550">
      <w:bodyDiv w:val="1"/>
      <w:marLeft w:val="0"/>
      <w:marRight w:val="0"/>
      <w:marTop w:val="0"/>
      <w:marBottom w:val="0"/>
      <w:divBdr>
        <w:top w:val="none" w:sz="0" w:space="0" w:color="auto"/>
        <w:left w:val="none" w:sz="0" w:space="0" w:color="auto"/>
        <w:bottom w:val="none" w:sz="0" w:space="0" w:color="auto"/>
        <w:right w:val="none" w:sz="0" w:space="0" w:color="auto"/>
      </w:divBdr>
    </w:div>
    <w:div w:id="1310745685">
      <w:bodyDiv w:val="1"/>
      <w:marLeft w:val="0"/>
      <w:marRight w:val="0"/>
      <w:marTop w:val="0"/>
      <w:marBottom w:val="0"/>
      <w:divBdr>
        <w:top w:val="none" w:sz="0" w:space="0" w:color="auto"/>
        <w:left w:val="none" w:sz="0" w:space="0" w:color="auto"/>
        <w:bottom w:val="none" w:sz="0" w:space="0" w:color="auto"/>
        <w:right w:val="none" w:sz="0" w:space="0" w:color="auto"/>
      </w:divBdr>
    </w:div>
    <w:div w:id="1352029050">
      <w:bodyDiv w:val="1"/>
      <w:marLeft w:val="0"/>
      <w:marRight w:val="0"/>
      <w:marTop w:val="0"/>
      <w:marBottom w:val="0"/>
      <w:divBdr>
        <w:top w:val="none" w:sz="0" w:space="0" w:color="auto"/>
        <w:left w:val="none" w:sz="0" w:space="0" w:color="auto"/>
        <w:bottom w:val="none" w:sz="0" w:space="0" w:color="auto"/>
        <w:right w:val="none" w:sz="0" w:space="0" w:color="auto"/>
      </w:divBdr>
    </w:div>
    <w:div w:id="1394960557">
      <w:bodyDiv w:val="1"/>
      <w:marLeft w:val="0"/>
      <w:marRight w:val="0"/>
      <w:marTop w:val="0"/>
      <w:marBottom w:val="0"/>
      <w:divBdr>
        <w:top w:val="none" w:sz="0" w:space="0" w:color="auto"/>
        <w:left w:val="none" w:sz="0" w:space="0" w:color="auto"/>
        <w:bottom w:val="none" w:sz="0" w:space="0" w:color="auto"/>
        <w:right w:val="none" w:sz="0" w:space="0" w:color="auto"/>
      </w:divBdr>
    </w:div>
    <w:div w:id="1414206108">
      <w:bodyDiv w:val="1"/>
      <w:marLeft w:val="0"/>
      <w:marRight w:val="0"/>
      <w:marTop w:val="0"/>
      <w:marBottom w:val="0"/>
      <w:divBdr>
        <w:top w:val="none" w:sz="0" w:space="0" w:color="auto"/>
        <w:left w:val="none" w:sz="0" w:space="0" w:color="auto"/>
        <w:bottom w:val="none" w:sz="0" w:space="0" w:color="auto"/>
        <w:right w:val="none" w:sz="0" w:space="0" w:color="auto"/>
      </w:divBdr>
    </w:div>
    <w:div w:id="1446732071">
      <w:bodyDiv w:val="1"/>
      <w:marLeft w:val="0"/>
      <w:marRight w:val="0"/>
      <w:marTop w:val="0"/>
      <w:marBottom w:val="0"/>
      <w:divBdr>
        <w:top w:val="none" w:sz="0" w:space="0" w:color="auto"/>
        <w:left w:val="none" w:sz="0" w:space="0" w:color="auto"/>
        <w:bottom w:val="none" w:sz="0" w:space="0" w:color="auto"/>
        <w:right w:val="none" w:sz="0" w:space="0" w:color="auto"/>
      </w:divBdr>
    </w:div>
    <w:div w:id="1591545826">
      <w:bodyDiv w:val="1"/>
      <w:marLeft w:val="0"/>
      <w:marRight w:val="0"/>
      <w:marTop w:val="0"/>
      <w:marBottom w:val="0"/>
      <w:divBdr>
        <w:top w:val="none" w:sz="0" w:space="0" w:color="auto"/>
        <w:left w:val="none" w:sz="0" w:space="0" w:color="auto"/>
        <w:bottom w:val="none" w:sz="0" w:space="0" w:color="auto"/>
        <w:right w:val="none" w:sz="0" w:space="0" w:color="auto"/>
      </w:divBdr>
    </w:div>
    <w:div w:id="1612277865">
      <w:bodyDiv w:val="1"/>
      <w:marLeft w:val="0"/>
      <w:marRight w:val="0"/>
      <w:marTop w:val="0"/>
      <w:marBottom w:val="0"/>
      <w:divBdr>
        <w:top w:val="none" w:sz="0" w:space="0" w:color="auto"/>
        <w:left w:val="none" w:sz="0" w:space="0" w:color="auto"/>
        <w:bottom w:val="none" w:sz="0" w:space="0" w:color="auto"/>
        <w:right w:val="none" w:sz="0" w:space="0" w:color="auto"/>
      </w:divBdr>
    </w:div>
    <w:div w:id="1666587282">
      <w:bodyDiv w:val="1"/>
      <w:marLeft w:val="0"/>
      <w:marRight w:val="0"/>
      <w:marTop w:val="0"/>
      <w:marBottom w:val="0"/>
      <w:divBdr>
        <w:top w:val="none" w:sz="0" w:space="0" w:color="auto"/>
        <w:left w:val="none" w:sz="0" w:space="0" w:color="auto"/>
        <w:bottom w:val="none" w:sz="0" w:space="0" w:color="auto"/>
        <w:right w:val="none" w:sz="0" w:space="0" w:color="auto"/>
      </w:divBdr>
    </w:div>
    <w:div w:id="1719475882">
      <w:bodyDiv w:val="1"/>
      <w:marLeft w:val="0"/>
      <w:marRight w:val="0"/>
      <w:marTop w:val="0"/>
      <w:marBottom w:val="0"/>
      <w:divBdr>
        <w:top w:val="none" w:sz="0" w:space="0" w:color="auto"/>
        <w:left w:val="none" w:sz="0" w:space="0" w:color="auto"/>
        <w:bottom w:val="none" w:sz="0" w:space="0" w:color="auto"/>
        <w:right w:val="none" w:sz="0" w:space="0" w:color="auto"/>
      </w:divBdr>
    </w:div>
    <w:div w:id="1725640896">
      <w:bodyDiv w:val="1"/>
      <w:marLeft w:val="0"/>
      <w:marRight w:val="0"/>
      <w:marTop w:val="0"/>
      <w:marBottom w:val="0"/>
      <w:divBdr>
        <w:top w:val="none" w:sz="0" w:space="0" w:color="auto"/>
        <w:left w:val="none" w:sz="0" w:space="0" w:color="auto"/>
        <w:bottom w:val="none" w:sz="0" w:space="0" w:color="auto"/>
        <w:right w:val="none" w:sz="0" w:space="0" w:color="auto"/>
      </w:divBdr>
    </w:div>
    <w:div w:id="1739204599">
      <w:bodyDiv w:val="1"/>
      <w:marLeft w:val="0"/>
      <w:marRight w:val="0"/>
      <w:marTop w:val="0"/>
      <w:marBottom w:val="0"/>
      <w:divBdr>
        <w:top w:val="none" w:sz="0" w:space="0" w:color="auto"/>
        <w:left w:val="none" w:sz="0" w:space="0" w:color="auto"/>
        <w:bottom w:val="none" w:sz="0" w:space="0" w:color="auto"/>
        <w:right w:val="none" w:sz="0" w:space="0" w:color="auto"/>
      </w:divBdr>
    </w:div>
    <w:div w:id="1767339600">
      <w:bodyDiv w:val="1"/>
      <w:marLeft w:val="0"/>
      <w:marRight w:val="0"/>
      <w:marTop w:val="0"/>
      <w:marBottom w:val="0"/>
      <w:divBdr>
        <w:top w:val="none" w:sz="0" w:space="0" w:color="auto"/>
        <w:left w:val="none" w:sz="0" w:space="0" w:color="auto"/>
        <w:bottom w:val="none" w:sz="0" w:space="0" w:color="auto"/>
        <w:right w:val="none" w:sz="0" w:space="0" w:color="auto"/>
      </w:divBdr>
    </w:div>
    <w:div w:id="1777678407">
      <w:bodyDiv w:val="1"/>
      <w:marLeft w:val="0"/>
      <w:marRight w:val="0"/>
      <w:marTop w:val="0"/>
      <w:marBottom w:val="0"/>
      <w:divBdr>
        <w:top w:val="none" w:sz="0" w:space="0" w:color="auto"/>
        <w:left w:val="none" w:sz="0" w:space="0" w:color="auto"/>
        <w:bottom w:val="none" w:sz="0" w:space="0" w:color="auto"/>
        <w:right w:val="none" w:sz="0" w:space="0" w:color="auto"/>
      </w:divBdr>
    </w:div>
    <w:div w:id="1857646767">
      <w:bodyDiv w:val="1"/>
      <w:marLeft w:val="0"/>
      <w:marRight w:val="0"/>
      <w:marTop w:val="0"/>
      <w:marBottom w:val="0"/>
      <w:divBdr>
        <w:top w:val="none" w:sz="0" w:space="0" w:color="auto"/>
        <w:left w:val="none" w:sz="0" w:space="0" w:color="auto"/>
        <w:bottom w:val="none" w:sz="0" w:space="0" w:color="auto"/>
        <w:right w:val="none" w:sz="0" w:space="0" w:color="auto"/>
      </w:divBdr>
    </w:div>
    <w:div w:id="1880776815">
      <w:bodyDiv w:val="1"/>
      <w:marLeft w:val="0"/>
      <w:marRight w:val="0"/>
      <w:marTop w:val="0"/>
      <w:marBottom w:val="0"/>
      <w:divBdr>
        <w:top w:val="none" w:sz="0" w:space="0" w:color="auto"/>
        <w:left w:val="none" w:sz="0" w:space="0" w:color="auto"/>
        <w:bottom w:val="none" w:sz="0" w:space="0" w:color="auto"/>
        <w:right w:val="none" w:sz="0" w:space="0" w:color="auto"/>
      </w:divBdr>
    </w:div>
    <w:div w:id="1904558069">
      <w:bodyDiv w:val="1"/>
      <w:marLeft w:val="0"/>
      <w:marRight w:val="0"/>
      <w:marTop w:val="0"/>
      <w:marBottom w:val="0"/>
      <w:divBdr>
        <w:top w:val="none" w:sz="0" w:space="0" w:color="auto"/>
        <w:left w:val="none" w:sz="0" w:space="0" w:color="auto"/>
        <w:bottom w:val="none" w:sz="0" w:space="0" w:color="auto"/>
        <w:right w:val="none" w:sz="0" w:space="0" w:color="auto"/>
      </w:divBdr>
    </w:div>
    <w:div w:id="1944874614">
      <w:bodyDiv w:val="1"/>
      <w:marLeft w:val="0"/>
      <w:marRight w:val="0"/>
      <w:marTop w:val="0"/>
      <w:marBottom w:val="0"/>
      <w:divBdr>
        <w:top w:val="none" w:sz="0" w:space="0" w:color="auto"/>
        <w:left w:val="none" w:sz="0" w:space="0" w:color="auto"/>
        <w:bottom w:val="none" w:sz="0" w:space="0" w:color="auto"/>
        <w:right w:val="none" w:sz="0" w:space="0" w:color="auto"/>
      </w:divBdr>
    </w:div>
    <w:div w:id="1993833184">
      <w:bodyDiv w:val="1"/>
      <w:marLeft w:val="0"/>
      <w:marRight w:val="0"/>
      <w:marTop w:val="0"/>
      <w:marBottom w:val="0"/>
      <w:divBdr>
        <w:top w:val="none" w:sz="0" w:space="0" w:color="auto"/>
        <w:left w:val="none" w:sz="0" w:space="0" w:color="auto"/>
        <w:bottom w:val="none" w:sz="0" w:space="0" w:color="auto"/>
        <w:right w:val="none" w:sz="0" w:space="0" w:color="auto"/>
      </w:divBdr>
    </w:div>
    <w:div w:id="1998654336">
      <w:bodyDiv w:val="1"/>
      <w:marLeft w:val="0"/>
      <w:marRight w:val="0"/>
      <w:marTop w:val="0"/>
      <w:marBottom w:val="0"/>
      <w:divBdr>
        <w:top w:val="none" w:sz="0" w:space="0" w:color="auto"/>
        <w:left w:val="none" w:sz="0" w:space="0" w:color="auto"/>
        <w:bottom w:val="none" w:sz="0" w:space="0" w:color="auto"/>
        <w:right w:val="none" w:sz="0" w:space="0" w:color="auto"/>
      </w:divBdr>
    </w:div>
    <w:div w:id="2051029821">
      <w:bodyDiv w:val="1"/>
      <w:marLeft w:val="0"/>
      <w:marRight w:val="0"/>
      <w:marTop w:val="0"/>
      <w:marBottom w:val="0"/>
      <w:divBdr>
        <w:top w:val="none" w:sz="0" w:space="0" w:color="auto"/>
        <w:left w:val="none" w:sz="0" w:space="0" w:color="auto"/>
        <w:bottom w:val="none" w:sz="0" w:space="0" w:color="auto"/>
        <w:right w:val="none" w:sz="0" w:space="0" w:color="auto"/>
      </w:divBdr>
    </w:div>
    <w:div w:id="21150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63"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66"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6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6E1F-AA2C-4EF0-9066-61208D24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Avishek Paul</dc:creator>
  <cp:lastModifiedBy>Mark Symes</cp:lastModifiedBy>
  <cp:revision>6</cp:revision>
  <dcterms:created xsi:type="dcterms:W3CDTF">2021-03-09T12:23:00Z</dcterms:created>
  <dcterms:modified xsi:type="dcterms:W3CDTF">2021-05-29T09:01:00Z</dcterms:modified>
</cp:coreProperties>
</file>