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5" w:rsidRPr="0099786B" w:rsidRDefault="0099786B" w:rsidP="0099786B">
      <w:pPr>
        <w:spacing w:after="0" w:line="240" w:lineRule="auto"/>
        <w:rPr>
          <w:b/>
        </w:rPr>
      </w:pPr>
      <w:r w:rsidRPr="0099786B">
        <w:rPr>
          <w:b/>
        </w:rPr>
        <w:t>Thame Inventories Database</w:t>
      </w:r>
    </w:p>
    <w:p w:rsidR="0099786B" w:rsidRDefault="0099786B" w:rsidP="0099786B">
      <w:pPr>
        <w:spacing w:after="0" w:line="240" w:lineRule="auto"/>
        <w:rPr>
          <w:b/>
        </w:rPr>
      </w:pPr>
    </w:p>
    <w:p w:rsidR="00950515" w:rsidRDefault="00950515" w:rsidP="0099786B">
      <w:pPr>
        <w:spacing w:after="0" w:line="240" w:lineRule="auto"/>
        <w:rPr>
          <w:b/>
        </w:rPr>
      </w:pPr>
      <w:r w:rsidRPr="00950515">
        <w:rPr>
          <w:b/>
        </w:rPr>
        <w:t>Tables</w:t>
      </w:r>
      <w:r w:rsidRPr="00950515">
        <w:rPr>
          <w:b/>
        </w:rPr>
        <w:t xml:space="preserve"> used for the analysis of appraisers:</w:t>
      </w:r>
    </w:p>
    <w:p w:rsidR="0099786B" w:rsidRPr="00950515" w:rsidRDefault="0099786B" w:rsidP="0099786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Appraisers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Names and standardised names of all appraisers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Appraisers (unique)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Unique standardised names of all appraisers, with information from linked sources.  Some names may denote multiple individuals</w:t>
            </w:r>
            <w:r w:rsidR="0099786B">
              <w:t xml:space="preserve">. Some names may appear more </w:t>
            </w:r>
            <w:r w:rsidRPr="00950515">
              <w:t>than once, e.g. because of variations in title.  All records with Dup=No represent minimum number of assessors.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Appraisers in 1660s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Used for linkage with Hearth Tax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New appraisers in 1660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Individuals appraising only after Restoration</w:t>
            </w:r>
          </w:p>
        </w:tc>
      </w:tr>
      <w:tr w:rsidR="0099786B" w:rsidRPr="00950515" w:rsidTr="00950515">
        <w:tc>
          <w:tcPr>
            <w:tcW w:w="2660" w:type="dxa"/>
          </w:tcPr>
          <w:p w:rsidR="0099786B" w:rsidRPr="00950515" w:rsidRDefault="0099786B" w:rsidP="0099786B">
            <w:r>
              <w:t>Vestrymen</w:t>
            </w:r>
          </w:p>
        </w:tc>
        <w:tc>
          <w:tcPr>
            <w:tcW w:w="6582" w:type="dxa"/>
          </w:tcPr>
          <w:p w:rsidR="0099786B" w:rsidRPr="00950515" w:rsidRDefault="00ED400D" w:rsidP="0099786B">
            <w:r>
              <w:t>Names of those signing vestry resolutions.</w:t>
            </w:r>
          </w:p>
        </w:tc>
      </w:tr>
    </w:tbl>
    <w:p w:rsidR="00950515" w:rsidRDefault="00950515" w:rsidP="0099786B">
      <w:pPr>
        <w:spacing w:after="0" w:line="240" w:lineRule="auto"/>
      </w:pPr>
    </w:p>
    <w:p w:rsidR="0099786B" w:rsidRPr="0099786B" w:rsidRDefault="0099786B" w:rsidP="0099786B">
      <w:pPr>
        <w:spacing w:after="0" w:line="240" w:lineRule="auto"/>
        <w:rPr>
          <w:b/>
        </w:rPr>
      </w:pPr>
      <w:r w:rsidRPr="0099786B">
        <w:rPr>
          <w:i/>
        </w:rPr>
        <w:t>Source</w:t>
      </w:r>
      <w:r w:rsidR="00ED400D">
        <w:rPr>
          <w:i/>
        </w:rPr>
        <w:t>s</w:t>
      </w:r>
      <w:r>
        <w:t>:  Inventories held at Oxford History Centre</w:t>
      </w:r>
      <w:r w:rsidR="00ED400D">
        <w:t xml:space="preserve"> (OHC)</w:t>
      </w:r>
      <w:r>
        <w:t xml:space="preserve"> and The National Archives, Kew.  See Inventories table below for archival references.  For transcriptions, see </w:t>
      </w:r>
      <w:r>
        <w:t xml:space="preserve">The Data Archive, </w:t>
      </w:r>
      <w:r w:rsidRPr="00D75B99">
        <w:t>SN 4132</w:t>
      </w:r>
      <w:r>
        <w:t>,</w:t>
      </w:r>
      <w:r w:rsidRPr="00D75B99">
        <w:t xml:space="preserve"> </w:t>
      </w:r>
      <w:r>
        <w:t>‘</w:t>
      </w:r>
      <w:r w:rsidRPr="00D75B99">
        <w:t xml:space="preserve">Thame, </w:t>
      </w:r>
      <w:proofErr w:type="gramStart"/>
      <w:r w:rsidRPr="00D75B99">
        <w:t>Oxfordshire</w:t>
      </w:r>
      <w:proofErr w:type="gramEnd"/>
      <w:r w:rsidRPr="00D75B99">
        <w:t xml:space="preserve"> in the Seventeenth Century</w:t>
      </w:r>
      <w:r>
        <w:t>’.</w:t>
      </w:r>
      <w:r w:rsidR="00ED400D">
        <w:t xml:space="preserve"> Vestrymen are from OHC</w:t>
      </w:r>
      <w:r w:rsidR="00ED400D">
        <w:t>, PAR 273/4/F1/2</w:t>
      </w:r>
    </w:p>
    <w:p w:rsidR="0099786B" w:rsidRDefault="0099786B" w:rsidP="0099786B">
      <w:pPr>
        <w:spacing w:after="0" w:line="240" w:lineRule="auto"/>
      </w:pPr>
    </w:p>
    <w:p w:rsidR="0099786B" w:rsidRDefault="0099786B" w:rsidP="0099786B">
      <w:pPr>
        <w:spacing w:after="0" w:line="240" w:lineRule="auto"/>
      </w:pPr>
    </w:p>
    <w:p w:rsidR="00950515" w:rsidRDefault="00950515" w:rsidP="0099786B">
      <w:pPr>
        <w:spacing w:after="0" w:line="240" w:lineRule="auto"/>
        <w:rPr>
          <w:b/>
        </w:rPr>
      </w:pPr>
      <w:r w:rsidRPr="0099786B">
        <w:rPr>
          <w:b/>
        </w:rPr>
        <w:t>Tables providing</w:t>
      </w:r>
      <w:r w:rsidRPr="0099786B">
        <w:rPr>
          <w:b/>
        </w:rPr>
        <w:t xml:space="preserve"> information about the inventories and the possessions they describe:</w:t>
      </w:r>
    </w:p>
    <w:p w:rsidR="0099786B" w:rsidRPr="0099786B" w:rsidRDefault="0099786B" w:rsidP="0099786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Inventories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Master table of name of deceased and other information from inventories.  Docno1 provides archival reference, from Oxfordshire History Centre or TNA. Includes classification of inventory type.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Items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Information about each individually valued, including description and value.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Objects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Information about individual object, including number of goods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Refinements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Separates terms uses to describe objects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Standard Objects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Standardises object names</w:t>
            </w:r>
          </w:p>
        </w:tc>
      </w:tr>
    </w:tbl>
    <w:p w:rsidR="00950515" w:rsidRDefault="00950515" w:rsidP="0099786B">
      <w:pPr>
        <w:spacing w:after="0" w:line="240" w:lineRule="auto"/>
      </w:pPr>
    </w:p>
    <w:p w:rsidR="0099786B" w:rsidRDefault="0099786B" w:rsidP="0099786B">
      <w:pPr>
        <w:spacing w:after="0" w:line="240" w:lineRule="auto"/>
      </w:pPr>
      <w:r w:rsidRPr="0099786B">
        <w:rPr>
          <w:i/>
        </w:rPr>
        <w:t>Source</w:t>
      </w:r>
      <w:r w:rsidR="00ED400D">
        <w:rPr>
          <w:i/>
        </w:rPr>
        <w:t>s</w:t>
      </w:r>
      <w:r>
        <w:t xml:space="preserve">:  </w:t>
      </w:r>
      <w:r>
        <w:t>as above.</w:t>
      </w:r>
    </w:p>
    <w:p w:rsidR="0099786B" w:rsidRDefault="0099786B" w:rsidP="0099786B">
      <w:pPr>
        <w:spacing w:after="0" w:line="240" w:lineRule="auto"/>
      </w:pPr>
    </w:p>
    <w:p w:rsidR="0099786B" w:rsidRDefault="0099786B" w:rsidP="0099786B">
      <w:pPr>
        <w:spacing w:after="0" w:line="240" w:lineRule="auto"/>
      </w:pPr>
    </w:p>
    <w:p w:rsidR="00950515" w:rsidRPr="0099786B" w:rsidRDefault="00950515" w:rsidP="0099786B">
      <w:pPr>
        <w:spacing w:after="0" w:line="240" w:lineRule="auto"/>
        <w:rPr>
          <w:b/>
        </w:rPr>
      </w:pPr>
      <w:r w:rsidRPr="0099786B">
        <w:rPr>
          <w:b/>
        </w:rPr>
        <w:t xml:space="preserve">Tables </w:t>
      </w:r>
      <w:r w:rsidR="0099786B" w:rsidRPr="0099786B">
        <w:rPr>
          <w:b/>
        </w:rPr>
        <w:t xml:space="preserve">copied from </w:t>
      </w:r>
      <w:r w:rsidRPr="0099786B">
        <w:rPr>
          <w:b/>
        </w:rPr>
        <w:t>Thame 17C Database</w:t>
      </w:r>
      <w:r w:rsidR="0099786B">
        <w:rPr>
          <w:b/>
        </w:rPr>
        <w:t xml:space="preserve"> and subsequently amended:</w:t>
      </w:r>
      <w:r w:rsidR="0099786B" w:rsidRPr="0099786B">
        <w:rPr>
          <w:b/>
        </w:rPr>
        <w:t xml:space="preserve">  </w:t>
      </w:r>
    </w:p>
    <w:p w:rsidR="0099786B" w:rsidRDefault="0099786B" w:rsidP="009978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proofErr w:type="spellStart"/>
            <w:r w:rsidRPr="00950515">
              <w:t>InvValue</w:t>
            </w:r>
            <w:proofErr w:type="spellEnd"/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Value of different categories of goods, including household goods, in inventory</w:t>
            </w:r>
            <w:r w:rsidR="00ED400D">
              <w:t>.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 w:rsidRPr="00950515">
              <w:t>Probate</w:t>
            </w:r>
          </w:p>
        </w:tc>
        <w:tc>
          <w:tcPr>
            <w:tcW w:w="6582" w:type="dxa"/>
          </w:tcPr>
          <w:p w:rsidR="00950515" w:rsidRPr="00950515" w:rsidRDefault="00950515" w:rsidP="0099786B">
            <w:r w:rsidRPr="00950515">
              <w:t>Name of deceased and other information about inventory.  Similar to Inventory table.</w:t>
            </w:r>
          </w:p>
        </w:tc>
      </w:tr>
      <w:tr w:rsidR="00950515" w:rsidRPr="00950515" w:rsidTr="00950515">
        <w:tc>
          <w:tcPr>
            <w:tcW w:w="2660" w:type="dxa"/>
          </w:tcPr>
          <w:p w:rsidR="00950515" w:rsidRPr="00950515" w:rsidRDefault="00950515" w:rsidP="0099786B">
            <w:r>
              <w:t>Wardens</w:t>
            </w:r>
          </w:p>
        </w:tc>
        <w:tc>
          <w:tcPr>
            <w:tcW w:w="6582" w:type="dxa"/>
          </w:tcPr>
          <w:p w:rsidR="00950515" w:rsidRPr="00950515" w:rsidRDefault="00950515" w:rsidP="00ED400D">
            <w:r>
              <w:t xml:space="preserve">Names of churchwardens. Transcribed from </w:t>
            </w:r>
            <w:r>
              <w:t xml:space="preserve">F. G. Lee, </w:t>
            </w:r>
            <w:r>
              <w:rPr>
                <w:i/>
                <w:iCs/>
              </w:rPr>
              <w:t xml:space="preserve">The History, Description, and Antiquities of the </w:t>
            </w:r>
            <w:proofErr w:type="spellStart"/>
            <w:r>
              <w:rPr>
                <w:i/>
                <w:iCs/>
              </w:rPr>
              <w:t>Prebendal</w:t>
            </w:r>
            <w:proofErr w:type="spellEnd"/>
            <w:r>
              <w:rPr>
                <w:i/>
                <w:iCs/>
              </w:rPr>
              <w:t xml:space="preserve"> Church of the Blessed Virgin Mary of Thame </w:t>
            </w:r>
            <w:r>
              <w:t xml:space="preserve">(London, 1883). Spot checking with churchwardens’ book, </w:t>
            </w:r>
            <w:r w:rsidR="00ED400D">
              <w:t>OHC</w:t>
            </w:r>
            <w:r>
              <w:t>, PAR 273/4/F1/2</w:t>
            </w:r>
            <w:r>
              <w:t>, suggests that year is sometimes incorrect.  Churchwardens’ book has also been used to add names from some missing years.</w:t>
            </w:r>
          </w:p>
        </w:tc>
      </w:tr>
    </w:tbl>
    <w:p w:rsidR="00296C8E" w:rsidRDefault="00296C8E" w:rsidP="0099786B">
      <w:pPr>
        <w:spacing w:after="0" w:line="240" w:lineRule="auto"/>
      </w:pPr>
    </w:p>
    <w:p w:rsidR="0099786B" w:rsidRDefault="0099786B" w:rsidP="0099786B">
      <w:pPr>
        <w:spacing w:after="0" w:line="240" w:lineRule="auto"/>
      </w:pPr>
      <w:r w:rsidRPr="0099786B">
        <w:rPr>
          <w:i/>
        </w:rPr>
        <w:t>Source</w:t>
      </w:r>
      <w:r>
        <w:t xml:space="preserve">:  </w:t>
      </w:r>
      <w:r>
        <w:t xml:space="preserve">The Data Archive, </w:t>
      </w:r>
      <w:r w:rsidRPr="00D75B99">
        <w:t>SN 4132</w:t>
      </w:r>
      <w:r>
        <w:t>,</w:t>
      </w:r>
      <w:r w:rsidRPr="00D75B99">
        <w:t xml:space="preserve"> </w:t>
      </w:r>
      <w:r>
        <w:t>‘</w:t>
      </w:r>
      <w:r w:rsidRPr="00D75B99">
        <w:t>Thame, Oxfordshire in the Seventeenth Century</w:t>
      </w:r>
      <w:r>
        <w:t>’</w:t>
      </w:r>
      <w:r>
        <w:t>, which also has tables from hearth tax, parish registers, manorial court books, and other source</w:t>
      </w:r>
      <w:bookmarkStart w:id="0" w:name="_GoBack"/>
      <w:bookmarkEnd w:id="0"/>
      <w:r>
        <w:t>s.</w:t>
      </w:r>
    </w:p>
    <w:p w:rsidR="0099786B" w:rsidRDefault="0099786B" w:rsidP="0099786B">
      <w:pPr>
        <w:spacing w:after="0" w:line="240" w:lineRule="auto"/>
      </w:pPr>
    </w:p>
    <w:p w:rsidR="0099786B" w:rsidRDefault="0099786B" w:rsidP="0099786B">
      <w:pPr>
        <w:spacing w:after="0" w:line="240" w:lineRule="auto"/>
      </w:pPr>
      <w:r>
        <w:t>Donald Spaeth, University of Glasgow</w:t>
      </w:r>
    </w:p>
    <w:p w:rsidR="0099786B" w:rsidRDefault="0099786B" w:rsidP="0099786B">
      <w:pPr>
        <w:spacing w:after="0" w:line="240" w:lineRule="auto"/>
      </w:pPr>
      <w:r>
        <w:t>1 May 2016</w:t>
      </w:r>
    </w:p>
    <w:sectPr w:rsidR="00997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8E"/>
    <w:rsid w:val="00296C8E"/>
    <w:rsid w:val="00950515"/>
    <w:rsid w:val="0099786B"/>
    <w:rsid w:val="00EB3CDB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Spaeth</dc:creator>
  <cp:lastModifiedBy>Donald Spaeth</cp:lastModifiedBy>
  <cp:revision>1</cp:revision>
  <dcterms:created xsi:type="dcterms:W3CDTF">2016-05-01T10:13:00Z</dcterms:created>
  <dcterms:modified xsi:type="dcterms:W3CDTF">2016-05-01T10:48:00Z</dcterms:modified>
</cp:coreProperties>
</file>